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33C" w:rsidRDefault="00D2133C" w:rsidP="00D2133C"/>
    <w:p w:rsidR="00D2133C" w:rsidRPr="00AC57D1" w:rsidRDefault="00D2133C" w:rsidP="00D2133C">
      <w:pPr>
        <w:rPr>
          <w:b/>
          <w:u w:val="single"/>
        </w:rPr>
      </w:pPr>
    </w:p>
    <w:p w:rsidR="00D2133C" w:rsidRDefault="00D2133C" w:rsidP="00D2133C">
      <w:pPr>
        <w:jc w:val="center"/>
        <w:rPr>
          <w:b/>
          <w:u w:val="single"/>
        </w:rPr>
      </w:pPr>
      <w:r>
        <w:rPr>
          <w:b/>
          <w:u w:val="single"/>
        </w:rPr>
        <w:t>Claiming an Income Tax Deduction</w:t>
      </w:r>
      <w:r w:rsidRPr="00AC57D1">
        <w:rPr>
          <w:b/>
          <w:u w:val="single"/>
        </w:rPr>
        <w:t xml:space="preserve"> for </w:t>
      </w:r>
      <w:r>
        <w:rPr>
          <w:b/>
          <w:u w:val="single"/>
        </w:rPr>
        <w:t xml:space="preserve">Your </w:t>
      </w:r>
      <w:r w:rsidRPr="00AC57D1">
        <w:rPr>
          <w:b/>
          <w:u w:val="single"/>
        </w:rPr>
        <w:t xml:space="preserve">Full or Partial </w:t>
      </w:r>
      <w:r>
        <w:rPr>
          <w:b/>
          <w:u w:val="single"/>
        </w:rPr>
        <w:t>Gift</w:t>
      </w:r>
      <w:r w:rsidRPr="00AC57D1">
        <w:rPr>
          <w:b/>
          <w:u w:val="single"/>
        </w:rPr>
        <w:t xml:space="preserve"> of Conservation Easement</w:t>
      </w:r>
    </w:p>
    <w:p w:rsidR="00D2133C" w:rsidRPr="00AC57D1" w:rsidRDefault="00D2133C" w:rsidP="00D2133C">
      <w:pPr>
        <w:rPr>
          <w:b/>
          <w:u w:val="single"/>
        </w:rPr>
      </w:pPr>
    </w:p>
    <w:p w:rsidR="00D2133C" w:rsidRPr="00AC57D1" w:rsidRDefault="00D2133C" w:rsidP="00D2133C">
      <w:pPr>
        <w:rPr>
          <w:b/>
          <w:u w:val="single"/>
        </w:rPr>
      </w:pPr>
    </w:p>
    <w:p w:rsidR="00D2133C" w:rsidRDefault="00D2133C" w:rsidP="00D2133C">
      <w:r w:rsidRPr="00AC57D1">
        <w:t xml:space="preserve">Landowners usually donate conservation easements (“CEs”) to the Forest Society with </w:t>
      </w:r>
      <w:r>
        <w:t>a</w:t>
      </w:r>
      <w:r w:rsidRPr="00AC57D1">
        <w:t xml:space="preserve"> primary interest of ensuring </w:t>
      </w:r>
      <w:r>
        <w:t xml:space="preserve">the </w:t>
      </w:r>
      <w:r w:rsidRPr="00AC57D1">
        <w:t xml:space="preserve">permanent conservation and good stewardship of their land.  Some of these donations involve the </w:t>
      </w:r>
      <w:r w:rsidRPr="00AC57D1">
        <w:rPr>
          <w:b/>
          <w:i/>
        </w:rPr>
        <w:t>full</w:t>
      </w:r>
      <w:r w:rsidRPr="00AC57D1">
        <w:t xml:space="preserve"> gift of a CE, where no money changes hands.  Others may involve a </w:t>
      </w:r>
      <w:r w:rsidRPr="00AC57D1">
        <w:rPr>
          <w:b/>
          <w:i/>
        </w:rPr>
        <w:t>partial</w:t>
      </w:r>
      <w:r w:rsidRPr="00AC57D1">
        <w:t xml:space="preserve"> gift, whereby </w:t>
      </w:r>
      <w:r>
        <w:t xml:space="preserve">you </w:t>
      </w:r>
      <w:r w:rsidRPr="00AC57D1">
        <w:t xml:space="preserve">sell the CE at a price below its appraised value, thus receiving cash for part of the CE’s value (“bargain sale”) and making a </w:t>
      </w:r>
      <w:r>
        <w:t>charitable contribution</w:t>
      </w:r>
      <w:r w:rsidRPr="00AC57D1">
        <w:t xml:space="preserve"> of the balance </w:t>
      </w:r>
      <w:r>
        <w:t>of value</w:t>
      </w:r>
      <w:r w:rsidRPr="00AC57D1">
        <w:t xml:space="preserve">.  </w:t>
      </w:r>
      <w:r>
        <w:t>When a transaction does have a gift component, you may sometimes be referred to as the “Donor” and the receiving organization, such as the Forest Society, the “</w:t>
      </w:r>
      <w:proofErr w:type="spellStart"/>
      <w:r>
        <w:t>Donee</w:t>
      </w:r>
      <w:proofErr w:type="spellEnd"/>
      <w:r>
        <w:t xml:space="preserve">.”  </w:t>
      </w:r>
      <w:r w:rsidRPr="00AC57D1">
        <w:t xml:space="preserve">Full and partial </w:t>
      </w:r>
      <w:r>
        <w:t>gifts</w:t>
      </w:r>
      <w:r w:rsidRPr="00AC57D1">
        <w:t xml:space="preserve"> of CEs are critical to the Forest Societ</w:t>
      </w:r>
      <w:r w:rsidR="00AA5FC0">
        <w:t>y’s fulfillment of its mission;</w:t>
      </w:r>
      <w:bookmarkStart w:id="0" w:name="_GoBack"/>
      <w:bookmarkEnd w:id="0"/>
      <w:r w:rsidRPr="00AC57D1">
        <w:t xml:space="preserve"> they not only make conservation projects financially feasible, but also inspire others to be similarly generous.  </w:t>
      </w:r>
      <w:r>
        <w:t>As</w:t>
      </w:r>
      <w:r w:rsidRPr="00AC57D1">
        <w:t xml:space="preserve"> the </w:t>
      </w:r>
      <w:r>
        <w:t>CE Donor</w:t>
      </w:r>
      <w:r w:rsidRPr="00AC57D1">
        <w:t xml:space="preserve">, </w:t>
      </w:r>
      <w:r>
        <w:t>you can enjoy</w:t>
      </w:r>
      <w:r w:rsidRPr="00AC57D1">
        <w:t xml:space="preserve"> the pleasure of “doing the right thing,” and </w:t>
      </w:r>
      <w:r>
        <w:t>also receiving</w:t>
      </w:r>
      <w:r w:rsidRPr="00AC57D1">
        <w:t xml:space="preserve"> potential tax benefits.</w:t>
      </w:r>
    </w:p>
    <w:p w:rsidR="00D2133C" w:rsidRDefault="00D2133C" w:rsidP="00D2133C"/>
    <w:p w:rsidR="00D2133C" w:rsidRPr="00AC57D1" w:rsidRDefault="00D2133C" w:rsidP="00D2133C">
      <w:r>
        <w:t>This document will highlight some of the key issues when you’re considering an income tax charitable deduction for your gift of a CE.  As noted below, this is not intended to provide tax or legal advice, and you’re urged to retain your own professional advisors.</w:t>
      </w:r>
    </w:p>
    <w:p w:rsidR="00D2133C" w:rsidRPr="00AC57D1" w:rsidRDefault="00D2133C" w:rsidP="00D2133C"/>
    <w:p w:rsidR="00D2133C" w:rsidRPr="00AC57D1" w:rsidRDefault="00D2133C" w:rsidP="00D2133C">
      <w:pPr>
        <w:rPr>
          <w:b/>
          <w:u w:val="single"/>
        </w:rPr>
      </w:pPr>
      <w:r w:rsidRPr="00AC57D1">
        <w:rPr>
          <w:b/>
          <w:u w:val="single"/>
        </w:rPr>
        <w:t>Procedures &amp; Best Practices</w:t>
      </w:r>
    </w:p>
    <w:p w:rsidR="00D2133C" w:rsidRPr="00AC57D1" w:rsidRDefault="00D2133C" w:rsidP="00D2133C"/>
    <w:p w:rsidR="00D2133C" w:rsidRPr="00AC57D1" w:rsidRDefault="00D2133C" w:rsidP="00D2133C">
      <w:r w:rsidRPr="00AC57D1">
        <w:t xml:space="preserve">The Forest Society must follow certain procedures and best practices in how it </w:t>
      </w:r>
      <w:r>
        <w:t>acquires</w:t>
      </w:r>
      <w:r w:rsidRPr="00AC57D1">
        <w:t xml:space="preserve"> a CE to ensure a sound transaction, to uphold the trust that others place in the organization, and to maintain the organization’s tax-exempt status. </w:t>
      </w:r>
      <w:r>
        <w:t xml:space="preserve"> Governing the process are</w:t>
      </w:r>
      <w:r w:rsidRPr="00AC57D1">
        <w:t xml:space="preserve"> </w:t>
      </w:r>
      <w:r>
        <w:t xml:space="preserve">the </w:t>
      </w:r>
      <w:r w:rsidRPr="00AC57D1">
        <w:t xml:space="preserve">policies and procedures adopted by </w:t>
      </w:r>
      <w:r>
        <w:t>the Forest Society’s</w:t>
      </w:r>
      <w:r w:rsidRPr="00AC57D1">
        <w:t xml:space="preserve"> Board of Trustees, state laws and regulations overseen by the Charitable Trust</w:t>
      </w:r>
      <w:r>
        <w:t>s</w:t>
      </w:r>
      <w:r w:rsidRPr="00AC57D1">
        <w:t xml:space="preserve"> </w:t>
      </w:r>
      <w:r>
        <w:t>Unit</w:t>
      </w:r>
      <w:r w:rsidRPr="00AC57D1">
        <w:t xml:space="preserve"> of the NH Attorney General’s Office, federal law and regulations of the Internal Revenue Service (“IRS”), and best practices </w:t>
      </w:r>
      <w:r>
        <w:t>developed</w:t>
      </w:r>
      <w:r w:rsidRPr="00AC57D1">
        <w:t xml:space="preserve"> by the Land Trust Alliance in its nationally recognized “Land Trust Standards and Practices” and accreditation programs.</w:t>
      </w:r>
    </w:p>
    <w:p w:rsidR="00D2133C" w:rsidRPr="00AC57D1" w:rsidRDefault="00D2133C" w:rsidP="00D2133C"/>
    <w:p w:rsidR="00D2133C" w:rsidRPr="00AC57D1" w:rsidRDefault="00D2133C" w:rsidP="00D2133C">
      <w:r>
        <w:t>If</w:t>
      </w:r>
      <w:r w:rsidRPr="00AC57D1">
        <w:t xml:space="preserve"> </w:t>
      </w:r>
      <w:r>
        <w:t>you</w:t>
      </w:r>
      <w:r w:rsidRPr="00AC57D1">
        <w:t xml:space="preserve"> wish to claim a charitable contribution tax deduction for </w:t>
      </w:r>
      <w:r>
        <w:t>your</w:t>
      </w:r>
      <w:r w:rsidRPr="00AC57D1">
        <w:t xml:space="preserve"> gift</w:t>
      </w:r>
      <w:r>
        <w:t>, your CE must meet certain legal and technical requirements of federal tax law</w:t>
      </w:r>
      <w:r w:rsidRPr="00AC57D1">
        <w:t xml:space="preserve">.  Since both the Forest Society </w:t>
      </w:r>
      <w:r>
        <w:t xml:space="preserve">and you </w:t>
      </w:r>
      <w:r w:rsidRPr="00AC57D1">
        <w:t xml:space="preserve">must adhere to IRS related requirements, it’s in both parties’ interests to be clear and consistent in how each handles the transaction.  Further, the Forest Society has a strong interest in </w:t>
      </w:r>
      <w:r>
        <w:t>your</w:t>
      </w:r>
      <w:r w:rsidRPr="00AC57D1">
        <w:t xml:space="preserve"> adherence to these standards so as not to </w:t>
      </w:r>
      <w:r>
        <w:t xml:space="preserve">get caught up in a problem that might </w:t>
      </w:r>
      <w:r w:rsidRPr="00AC57D1">
        <w:t>jeopardize the organization’s tax-exempt status, reputation, and</w:t>
      </w:r>
      <w:r>
        <w:t>/or</w:t>
      </w:r>
      <w:r w:rsidRPr="00AC57D1">
        <w:t xml:space="preserve"> status as an accredited land trust.</w:t>
      </w:r>
    </w:p>
    <w:p w:rsidR="00D2133C" w:rsidRPr="00AC57D1" w:rsidRDefault="00D2133C" w:rsidP="00D2133C"/>
    <w:p w:rsidR="00D2133C" w:rsidRPr="00AC57D1" w:rsidRDefault="00D2133C" w:rsidP="00D2133C">
      <w:r w:rsidRPr="00AC57D1">
        <w:t xml:space="preserve">A CE is granted </w:t>
      </w:r>
      <w:r w:rsidRPr="00AC57D1">
        <w:rPr>
          <w:b/>
        </w:rPr>
        <w:t>in perpetuity</w:t>
      </w:r>
      <w:r w:rsidRPr="00AC57D1">
        <w:t xml:space="preserve">, and </w:t>
      </w:r>
      <w:r>
        <w:t>so its</w:t>
      </w:r>
      <w:r w:rsidRPr="00AC57D1">
        <w:t xml:space="preserve"> terms and conditions are permanent.  Federal tax law, charitable gift requirements, and the Forest Society’s policies prohibit amendment or modification of a CE except under exceptional circumstances.  Any future amendment or modification will require the review and approval of the Forest Society’s Board of Trustees and the State</w:t>
      </w:r>
      <w:r>
        <w:t>’s</w:t>
      </w:r>
      <w:r w:rsidRPr="00AC57D1">
        <w:t xml:space="preserve"> Charitable Trusts </w:t>
      </w:r>
      <w:r>
        <w:t xml:space="preserve">Unit, </w:t>
      </w:r>
      <w:r w:rsidRPr="00AC57D1">
        <w:t xml:space="preserve">and possibly </w:t>
      </w:r>
      <w:r>
        <w:t xml:space="preserve">also </w:t>
      </w:r>
      <w:r w:rsidRPr="00AC57D1">
        <w:t>the</w:t>
      </w:r>
      <w:r>
        <w:t xml:space="preserve"> </w:t>
      </w:r>
      <w:r w:rsidRPr="00AC57D1">
        <w:t>Probate Court.</w:t>
      </w:r>
    </w:p>
    <w:p w:rsidR="00D2133C" w:rsidRPr="00AC57D1" w:rsidRDefault="00D2133C" w:rsidP="00D2133C"/>
    <w:p w:rsidR="00D2133C" w:rsidRPr="00AC57D1" w:rsidRDefault="00D2133C" w:rsidP="00D2133C">
      <w:r w:rsidRPr="00AC57D1">
        <w:t>If there</w:t>
      </w:r>
      <w:r>
        <w:t>’s</w:t>
      </w:r>
      <w:r w:rsidRPr="00AC57D1">
        <w:t xml:space="preserve"> a </w:t>
      </w:r>
      <w:r w:rsidRPr="00AC57D1">
        <w:rPr>
          <w:b/>
        </w:rPr>
        <w:t>mortgage or other lien on the property</w:t>
      </w:r>
      <w:r w:rsidRPr="00AC57D1">
        <w:t xml:space="preserve"> </w:t>
      </w:r>
      <w:r>
        <w:t>you propose</w:t>
      </w:r>
      <w:r w:rsidRPr="00AC57D1">
        <w:t xml:space="preserve"> to conserve, </w:t>
      </w:r>
      <w:r>
        <w:t>you</w:t>
      </w:r>
      <w:r w:rsidRPr="00AC57D1">
        <w:t xml:space="preserve"> must, before granting the CE, either </w:t>
      </w:r>
      <w:r>
        <w:t>remove</w:t>
      </w:r>
      <w:r w:rsidRPr="00AC57D1">
        <w:t xml:space="preserve"> the mortgage </w:t>
      </w:r>
      <w:r>
        <w:t>from the CE property</w:t>
      </w:r>
      <w:r>
        <w:rPr>
          <w:rStyle w:val="FootnoteReference"/>
        </w:rPr>
        <w:footnoteReference w:id="1"/>
      </w:r>
      <w:r>
        <w:t xml:space="preserve"> </w:t>
      </w:r>
      <w:r w:rsidRPr="00AC57D1">
        <w:t xml:space="preserve">or else obtain from </w:t>
      </w:r>
      <w:r>
        <w:t>your</w:t>
      </w:r>
      <w:r w:rsidRPr="00AC57D1">
        <w:t xml:space="preserve"> lender or lienholder a written subordination of the mortgage or lien to the CE.  As securing a </w:t>
      </w:r>
      <w:r>
        <w:t xml:space="preserve">partial release, full discharge, or </w:t>
      </w:r>
      <w:r w:rsidRPr="00AC57D1">
        <w:t>subordination</w:t>
      </w:r>
      <w:r>
        <w:t xml:space="preserve"> of a mortgage </w:t>
      </w:r>
      <w:r w:rsidRPr="00AC57D1">
        <w:t xml:space="preserve">can be time consuming, </w:t>
      </w:r>
      <w:r>
        <w:t>you</w:t>
      </w:r>
      <w:r w:rsidRPr="00AC57D1">
        <w:t xml:space="preserve"> should initiate pursuit of this early in the process.</w:t>
      </w:r>
      <w:r>
        <w:t xml:space="preserve">  The Forest Society’s land agent may be able to help you with this key task.  </w:t>
      </w:r>
    </w:p>
    <w:p w:rsidR="00D2133C" w:rsidRDefault="00D2133C" w:rsidP="00D2133C">
      <w:pPr>
        <w:rPr>
          <w:b/>
          <w:u w:val="single"/>
        </w:rPr>
      </w:pPr>
    </w:p>
    <w:p w:rsidR="00D2133C" w:rsidRPr="00AC57D1" w:rsidRDefault="00D2133C" w:rsidP="00D2133C">
      <w:pPr>
        <w:rPr>
          <w:b/>
          <w:u w:val="single"/>
        </w:rPr>
      </w:pPr>
      <w:r w:rsidRPr="00AC57D1">
        <w:rPr>
          <w:b/>
          <w:u w:val="single"/>
        </w:rPr>
        <w:t xml:space="preserve">Recommendation for </w:t>
      </w:r>
      <w:r>
        <w:rPr>
          <w:b/>
          <w:u w:val="single"/>
        </w:rPr>
        <w:t>Landowner</w:t>
      </w:r>
      <w:r w:rsidRPr="00AC57D1">
        <w:rPr>
          <w:b/>
          <w:u w:val="single"/>
        </w:rPr>
        <w:t xml:space="preserve"> Counsel</w:t>
      </w:r>
    </w:p>
    <w:p w:rsidR="00D2133C" w:rsidRPr="00AC57D1" w:rsidRDefault="00D2133C" w:rsidP="00D2133C"/>
    <w:p w:rsidR="00D2133C" w:rsidRDefault="00D2133C" w:rsidP="00D2133C">
      <w:pPr>
        <w:rPr>
          <w:b/>
        </w:rPr>
      </w:pPr>
      <w:r w:rsidRPr="00AC57D1">
        <w:rPr>
          <w:b/>
        </w:rPr>
        <w:t>The Forest Society strongly recommends that any landowner undertaking a real estate transaction engage his/her own experienced legal, financial, and/or tax counsel.</w:t>
      </w:r>
      <w:r w:rsidRPr="00AC57D1">
        <w:t xml:space="preserve">  This helps ensure that </w:t>
      </w:r>
      <w:r>
        <w:t>you’re</w:t>
      </w:r>
      <w:r w:rsidRPr="00AC57D1">
        <w:t xml:space="preserve"> well informed and adhere to all requirements, and that </w:t>
      </w:r>
      <w:r>
        <w:t>your</w:t>
      </w:r>
      <w:r w:rsidRPr="00AC57D1">
        <w:t xml:space="preserve"> interests are properly reflected in final legal documents.  </w:t>
      </w:r>
      <w:r>
        <w:t>Your engagement of p</w:t>
      </w:r>
      <w:r w:rsidRPr="00AC57D1">
        <w:t>rofessional advisors also strengthen</w:t>
      </w:r>
      <w:r>
        <w:t>s</w:t>
      </w:r>
      <w:r w:rsidRPr="00AC57D1">
        <w:t xml:space="preserve"> the resulting conservation transaction against possible later challenge.  Although the Forest Society’s staff tries to provide helpful information, the staff does not render legal, financial, or tax advice.  Ultimately, </w:t>
      </w:r>
      <w:r w:rsidRPr="00AC57D1">
        <w:rPr>
          <w:b/>
        </w:rPr>
        <w:t xml:space="preserve">it is </w:t>
      </w:r>
      <w:r>
        <w:rPr>
          <w:b/>
        </w:rPr>
        <w:t>your</w:t>
      </w:r>
      <w:r w:rsidRPr="00AC57D1">
        <w:rPr>
          <w:b/>
        </w:rPr>
        <w:t xml:space="preserve"> responsibility, with </w:t>
      </w:r>
      <w:r>
        <w:rPr>
          <w:b/>
        </w:rPr>
        <w:t>your</w:t>
      </w:r>
      <w:r w:rsidRPr="00AC57D1">
        <w:rPr>
          <w:b/>
        </w:rPr>
        <w:t xml:space="preserve"> advisors, to:</w:t>
      </w:r>
    </w:p>
    <w:p w:rsidR="00D2133C" w:rsidRPr="00AC57D1" w:rsidRDefault="00D2133C" w:rsidP="00D2133C">
      <w:pPr>
        <w:rPr>
          <w:b/>
        </w:rPr>
      </w:pPr>
    </w:p>
    <w:p w:rsidR="00D2133C" w:rsidRPr="00AC57D1" w:rsidRDefault="00D2133C" w:rsidP="00D2133C">
      <w:pPr>
        <w:numPr>
          <w:ilvl w:val="0"/>
          <w:numId w:val="7"/>
        </w:numPr>
        <w:contextualSpacing/>
      </w:pPr>
      <w:r w:rsidRPr="00AC57D1">
        <w:rPr>
          <w:b/>
        </w:rPr>
        <w:t xml:space="preserve">Confirm all </w:t>
      </w:r>
      <w:r>
        <w:rPr>
          <w:b/>
        </w:rPr>
        <w:t xml:space="preserve">applicable, then-current </w:t>
      </w:r>
      <w:r w:rsidRPr="00AC57D1">
        <w:rPr>
          <w:b/>
        </w:rPr>
        <w:t>requirements for c</w:t>
      </w:r>
      <w:r>
        <w:rPr>
          <w:b/>
        </w:rPr>
        <w:t>laiming a charitable deduction</w:t>
      </w:r>
      <w:r w:rsidRPr="00AC57D1">
        <w:rPr>
          <w:b/>
        </w:rPr>
        <w:t>;</w:t>
      </w:r>
    </w:p>
    <w:p w:rsidR="00D2133C" w:rsidRPr="00AC57D1" w:rsidRDefault="00D2133C" w:rsidP="00D2133C">
      <w:pPr>
        <w:numPr>
          <w:ilvl w:val="0"/>
          <w:numId w:val="7"/>
        </w:numPr>
        <w:contextualSpacing/>
      </w:pPr>
      <w:r w:rsidRPr="00AC57D1">
        <w:rPr>
          <w:b/>
        </w:rPr>
        <w:t xml:space="preserve">Determine the eligibility of a gift for charitable deduction purposes; </w:t>
      </w:r>
      <w:r>
        <w:rPr>
          <w:b/>
        </w:rPr>
        <w:t xml:space="preserve"> and</w:t>
      </w:r>
    </w:p>
    <w:p w:rsidR="00D2133C" w:rsidRPr="00AC57D1" w:rsidRDefault="00D2133C" w:rsidP="00D2133C">
      <w:pPr>
        <w:numPr>
          <w:ilvl w:val="0"/>
          <w:numId w:val="7"/>
        </w:numPr>
        <w:contextualSpacing/>
      </w:pPr>
      <w:r w:rsidRPr="00AC57D1">
        <w:rPr>
          <w:b/>
        </w:rPr>
        <w:t>Determine the value of the gift</w:t>
      </w:r>
      <w:r>
        <w:rPr>
          <w:b/>
        </w:rPr>
        <w:t xml:space="preserve"> and resulting deduction</w:t>
      </w:r>
      <w:r w:rsidRPr="00AC57D1">
        <w:rPr>
          <w:b/>
        </w:rPr>
        <w:t xml:space="preserve"> by obtaining a qualified appraisal.</w:t>
      </w:r>
    </w:p>
    <w:p w:rsidR="00D2133C" w:rsidRPr="00AC57D1" w:rsidRDefault="00D2133C" w:rsidP="00D2133C"/>
    <w:p w:rsidR="00D2133C" w:rsidRPr="00AC57D1" w:rsidRDefault="00D2133C" w:rsidP="00D2133C">
      <w:pPr>
        <w:rPr>
          <w:b/>
          <w:u w:val="single"/>
        </w:rPr>
      </w:pPr>
      <w:r w:rsidRPr="00AC57D1">
        <w:rPr>
          <w:b/>
          <w:u w:val="single"/>
        </w:rPr>
        <w:t>Appraisal Requirements</w:t>
      </w:r>
    </w:p>
    <w:p w:rsidR="00D2133C" w:rsidRPr="00AC57D1" w:rsidRDefault="00D2133C" w:rsidP="00D2133C"/>
    <w:p w:rsidR="00D2133C" w:rsidRDefault="00D2133C" w:rsidP="00D2133C">
      <w:pPr>
        <w:rPr>
          <w:b/>
        </w:rPr>
      </w:pPr>
      <w:r w:rsidRPr="00AC57D1">
        <w:t>To qualify for a charitable deduction</w:t>
      </w:r>
      <w:r>
        <w:t xml:space="preserve"> for your CE gift</w:t>
      </w:r>
      <w:r w:rsidRPr="00AC57D1">
        <w:t xml:space="preserve">, </w:t>
      </w:r>
      <w:r>
        <w:t>you, with your advisors,</w:t>
      </w:r>
      <w:r w:rsidRPr="00AC57D1">
        <w:t xml:space="preserve"> must </w:t>
      </w:r>
      <w:r>
        <w:t xml:space="preserve">ensure that </w:t>
      </w:r>
      <w:r w:rsidRPr="00F73A07">
        <w:t xml:space="preserve">the </w:t>
      </w:r>
      <w:proofErr w:type="spellStart"/>
      <w:r w:rsidRPr="00F73A07">
        <w:t>Donee</w:t>
      </w:r>
      <w:proofErr w:type="spellEnd"/>
      <w:r w:rsidRPr="00F73A07">
        <w:t xml:space="preserve"> and the content of the CE conform to certain IRS tax laws (“Internal Revenue Code”)</w:t>
      </w:r>
      <w:r>
        <w:rPr>
          <w:rStyle w:val="FootnoteReference"/>
        </w:rPr>
        <w:footnoteReference w:id="2"/>
      </w:r>
      <w:r w:rsidRPr="00F73A07">
        <w:t xml:space="preserve"> and the regulations developed </w:t>
      </w:r>
      <w:r w:rsidRPr="00396B88">
        <w:t>for them by the US Treasury Department.</w:t>
      </w:r>
      <w:r w:rsidRPr="00396B88">
        <w:rPr>
          <w:vertAlign w:val="superscript"/>
        </w:rPr>
        <w:footnoteReference w:id="3"/>
      </w:r>
      <w:r w:rsidRPr="00396B88">
        <w:t xml:space="preserve">  In addition, you</w:t>
      </w:r>
      <w:r>
        <w:t xml:space="preserve"> must follow certain </w:t>
      </w:r>
      <w:r w:rsidRPr="00396B88">
        <w:t>Treasury Department regulations for claiming a deduction.</w:t>
      </w:r>
      <w:r w:rsidRPr="00396B88">
        <w:rPr>
          <w:vertAlign w:val="superscript"/>
        </w:rPr>
        <w:footnoteReference w:id="4"/>
      </w:r>
      <w:r w:rsidRPr="00396B88">
        <w:t xml:space="preserve">  For example, for any CE gift for which you wish to claim a deduction of more than $5,000, you must obtain—including paying for—a written appraisal prepared by an independent, professional appraiser to establish the value of the CE as of the date of your contribution or a date within 60 days before then.  Further, the appraiser must use a specific methodology for estimating the value of the CE.  Because that methodology requires the appraiser to consider the CE’s possible impacts on the value of certain other properties in the vicinity of the CE</w:t>
      </w:r>
      <w:r>
        <w:t xml:space="preserve"> land, it’s important for you</w:t>
      </w:r>
      <w:r w:rsidRPr="000567CD">
        <w:rPr>
          <w:b/>
        </w:rPr>
        <w:t xml:space="preserve"> to identify to the appraiser </w:t>
      </w:r>
      <w:r>
        <w:rPr>
          <w:b/>
        </w:rPr>
        <w:t xml:space="preserve">and the Forest Society’s land agent </w:t>
      </w:r>
      <w:r w:rsidRPr="000567CD">
        <w:rPr>
          <w:b/>
        </w:rPr>
        <w:t xml:space="preserve">early in the process any other properties in the area that are </w:t>
      </w:r>
      <w:r w:rsidRPr="00B64A0C">
        <w:rPr>
          <w:b/>
        </w:rPr>
        <w:t>o</w:t>
      </w:r>
      <w:r w:rsidRPr="005134D4">
        <w:rPr>
          <w:b/>
        </w:rPr>
        <w:t xml:space="preserve">wned by </w:t>
      </w:r>
      <w:r>
        <w:rPr>
          <w:b/>
        </w:rPr>
        <w:t>you, relatives,</w:t>
      </w:r>
      <w:r w:rsidRPr="005134D4">
        <w:rPr>
          <w:b/>
        </w:rPr>
        <w:t xml:space="preserve"> </w:t>
      </w:r>
      <w:r>
        <w:rPr>
          <w:b/>
        </w:rPr>
        <w:t xml:space="preserve">or others with </w:t>
      </w:r>
      <w:r w:rsidRPr="005134D4">
        <w:rPr>
          <w:b/>
        </w:rPr>
        <w:t xml:space="preserve">financial ties to </w:t>
      </w:r>
      <w:r>
        <w:rPr>
          <w:b/>
        </w:rPr>
        <w:t>you</w:t>
      </w:r>
      <w:r w:rsidRPr="005134D4">
        <w:rPr>
          <w:b/>
        </w:rPr>
        <w:t>.</w:t>
      </w:r>
    </w:p>
    <w:p w:rsidR="00D2133C" w:rsidRDefault="00D2133C" w:rsidP="00D2133C">
      <w:pPr>
        <w:rPr>
          <w:b/>
        </w:rPr>
      </w:pPr>
    </w:p>
    <w:p w:rsidR="00D2133C" w:rsidRPr="000567CD" w:rsidRDefault="00D2133C" w:rsidP="00D2133C">
      <w:r w:rsidRPr="00AC57D1">
        <w:rPr>
          <w:b/>
        </w:rPr>
        <w:t xml:space="preserve">The Forest Society requires that </w:t>
      </w:r>
      <w:r>
        <w:rPr>
          <w:b/>
        </w:rPr>
        <w:t>you</w:t>
      </w:r>
      <w:r w:rsidRPr="00AC57D1">
        <w:rPr>
          <w:b/>
        </w:rPr>
        <w:t xml:space="preserve"> provide a copy of </w:t>
      </w:r>
      <w:r>
        <w:rPr>
          <w:b/>
        </w:rPr>
        <w:t>your</w:t>
      </w:r>
      <w:r w:rsidRPr="00AC57D1">
        <w:rPr>
          <w:b/>
        </w:rPr>
        <w:t xml:space="preserve"> </w:t>
      </w:r>
      <w:r>
        <w:rPr>
          <w:b/>
        </w:rPr>
        <w:t xml:space="preserve">qualified </w:t>
      </w:r>
      <w:r w:rsidRPr="00AC57D1">
        <w:rPr>
          <w:b/>
        </w:rPr>
        <w:t>appraisal</w:t>
      </w:r>
      <w:r w:rsidRPr="00AC57D1">
        <w:t xml:space="preserve"> </w:t>
      </w:r>
      <w:r>
        <w:rPr>
          <w:b/>
        </w:rPr>
        <w:t>to the staff for its review</w:t>
      </w:r>
      <w:r>
        <w:t xml:space="preserve"> in association with the IRS tax form that you must submit with your tax return to claim the deduction (see section below on “IRS Form 8283…”).  If the landowner is a pass-</w:t>
      </w:r>
      <w:r>
        <w:lastRenderedPageBreak/>
        <w:t>through entity consisting of unrelated parties, the Forest Society will require a copy of the appraisal prior to receiving the CE.</w:t>
      </w:r>
    </w:p>
    <w:p w:rsidR="00D2133C" w:rsidRDefault="00D2133C" w:rsidP="00D2133C">
      <w:pPr>
        <w:rPr>
          <w:b/>
        </w:rPr>
      </w:pPr>
    </w:p>
    <w:p w:rsidR="00D2133C" w:rsidRPr="00AC57D1" w:rsidRDefault="00D2133C" w:rsidP="00D2133C">
      <w:r w:rsidRPr="00AC57D1">
        <w:t>The Forest Society</w:t>
      </w:r>
      <w:r>
        <w:t>’s land agent</w:t>
      </w:r>
      <w:r w:rsidRPr="00AC57D1">
        <w:t xml:space="preserve"> can provide </w:t>
      </w:r>
      <w:r>
        <w:t xml:space="preserve">you with </w:t>
      </w:r>
      <w:r w:rsidRPr="00AC57D1">
        <w:t xml:space="preserve">a </w:t>
      </w:r>
      <w:r w:rsidRPr="00AC57D1">
        <w:rPr>
          <w:b/>
        </w:rPr>
        <w:t>list of appraisers</w:t>
      </w:r>
      <w:r w:rsidRPr="00AC57D1">
        <w:t xml:space="preserve"> believe</w:t>
      </w:r>
      <w:r>
        <w:t>d</w:t>
      </w:r>
      <w:r w:rsidRPr="00AC57D1">
        <w:t xml:space="preserve"> </w:t>
      </w:r>
      <w:r>
        <w:t>to be competent in preparing CE appraisals for IRS deduction purposes</w:t>
      </w:r>
      <w:r w:rsidRPr="00AC57D1">
        <w:t xml:space="preserve">.  </w:t>
      </w:r>
      <w:r>
        <w:t>The land agent can assist you in contacting one or more appraisers regarding their availability and cost estimates, and in providing maps, a draft of the CE, and other information that the appraiser will likely need.</w:t>
      </w:r>
      <w:r w:rsidRPr="008248B4">
        <w:t xml:space="preserve"> </w:t>
      </w:r>
      <w:r w:rsidRPr="00AC57D1">
        <w:t xml:space="preserve">As good appraisers are often busy, </w:t>
      </w:r>
      <w:r>
        <w:t>it’s a good idea</w:t>
      </w:r>
      <w:r w:rsidRPr="00AC57D1">
        <w:t xml:space="preserve"> to contact an appraiser early in the process to ensure that the appraisal can be completed </w:t>
      </w:r>
      <w:r>
        <w:t>on time</w:t>
      </w:r>
      <w:r w:rsidRPr="00AC57D1">
        <w:t>.</w:t>
      </w:r>
    </w:p>
    <w:p w:rsidR="00D2133C" w:rsidRDefault="00D2133C" w:rsidP="00D2133C"/>
    <w:p w:rsidR="00D2133C" w:rsidRDefault="00D2133C" w:rsidP="00D2133C">
      <w:r w:rsidRPr="00B64A0C">
        <w:t>Th</w:t>
      </w:r>
      <w:r>
        <w:t xml:space="preserve">e relatively complex process for appraising a CE may help explain the relatively </w:t>
      </w:r>
      <w:r w:rsidRPr="00272912">
        <w:t>high</w:t>
      </w:r>
      <w:r w:rsidRPr="00936E45">
        <w:rPr>
          <w:b/>
        </w:rPr>
        <w:t xml:space="preserve"> </w:t>
      </w:r>
      <w:r w:rsidRPr="00272912">
        <w:t>cost</w:t>
      </w:r>
      <w:r>
        <w:t xml:space="preserve"> for such </w:t>
      </w:r>
      <w:r w:rsidRPr="002C60A7">
        <w:t>a</w:t>
      </w:r>
      <w:r>
        <w:t xml:space="preserve">n appraisal compared to the cost of </w:t>
      </w:r>
      <w:r w:rsidRPr="002C60A7">
        <w:t xml:space="preserve">an appraisal </w:t>
      </w:r>
      <w:r>
        <w:t>for</w:t>
      </w:r>
      <w:r w:rsidRPr="002C60A7">
        <w:t xml:space="preserve"> j</w:t>
      </w:r>
      <w:r>
        <w:t xml:space="preserve">ust land alone.  Relatedly, some CE Donors don’t bother claiming a deduction because they anticipate that the cost of getting the IRS </w:t>
      </w:r>
      <w:r w:rsidRPr="00BA7113">
        <w:t>appraisal would exceed the tax savings they’d realize by claiming a deduction for their CE gift.  Expenses you incur in making your CE gift, such as for your appraisal, legal services, etc., are generally not deductible, but there may be other ways in which you can realize tax benefits from them—check with your tax advisor.</w:t>
      </w:r>
      <w:r>
        <w:t xml:space="preserve"> </w:t>
      </w:r>
    </w:p>
    <w:p w:rsidR="00D2133C" w:rsidRDefault="00D2133C" w:rsidP="00D2133C"/>
    <w:p w:rsidR="00D2133C" w:rsidRPr="00AC57D1" w:rsidRDefault="00D2133C" w:rsidP="00D2133C">
      <w:pPr>
        <w:rPr>
          <w:szCs w:val="20"/>
        </w:rPr>
      </w:pPr>
      <w:r>
        <w:t>If you don’t intend to claim a tax deduction for your CE gift, you don’t need to get your CE appraised.</w:t>
      </w:r>
    </w:p>
    <w:p w:rsidR="00D2133C" w:rsidRPr="00AC57D1" w:rsidRDefault="00D2133C" w:rsidP="00D2133C"/>
    <w:p w:rsidR="00D2133C" w:rsidRPr="00AC57D1" w:rsidRDefault="00D2133C" w:rsidP="00D2133C">
      <w:r w:rsidRPr="00AC57D1">
        <w:rPr>
          <w:b/>
        </w:rPr>
        <w:t xml:space="preserve">If the Forest Society has significant concerns about the tax deduction that </w:t>
      </w:r>
      <w:r>
        <w:rPr>
          <w:b/>
        </w:rPr>
        <w:t>you</w:t>
      </w:r>
      <w:r w:rsidRPr="00AC57D1">
        <w:rPr>
          <w:b/>
        </w:rPr>
        <w:t xml:space="preserve"> intend to claim, including possible deficiency of the appraisal, the Forest Society will not knowingly participate in the project. </w:t>
      </w:r>
    </w:p>
    <w:p w:rsidR="00D2133C" w:rsidRPr="00AC57D1" w:rsidRDefault="00D2133C" w:rsidP="00D2133C">
      <w:pPr>
        <w:rPr>
          <w:b/>
        </w:rPr>
      </w:pPr>
    </w:p>
    <w:p w:rsidR="00D2133C" w:rsidRPr="000567CD" w:rsidRDefault="00D2133C" w:rsidP="00D2133C">
      <w:pPr>
        <w:rPr>
          <w:b/>
        </w:rPr>
      </w:pPr>
      <w:r w:rsidRPr="000567CD">
        <w:rPr>
          <w:b/>
        </w:rPr>
        <w:t xml:space="preserve">SEE </w:t>
      </w:r>
      <w:r w:rsidRPr="000E42E0">
        <w:rPr>
          <w:b/>
          <w:i/>
          <w:u w:val="single"/>
        </w:rPr>
        <w:t>ATTACHMENT A</w:t>
      </w:r>
      <w:r w:rsidRPr="000567CD">
        <w:rPr>
          <w:b/>
        </w:rPr>
        <w:t xml:space="preserve"> FOR IMPORTANT ADDITIONAL DETAILS ON GETTING AN APPRAISAL MEETING IRS DEDUCTION REQUIREMENTS.</w:t>
      </w:r>
    </w:p>
    <w:p w:rsidR="00D2133C" w:rsidRPr="00AC57D1" w:rsidRDefault="00D2133C" w:rsidP="00D2133C"/>
    <w:p w:rsidR="00D2133C" w:rsidRPr="00AC57D1" w:rsidRDefault="00D2133C" w:rsidP="00D2133C">
      <w:pPr>
        <w:rPr>
          <w:b/>
          <w:u w:val="single"/>
        </w:rPr>
      </w:pPr>
      <w:r w:rsidRPr="00AC57D1">
        <w:rPr>
          <w:b/>
          <w:u w:val="single"/>
        </w:rPr>
        <w:t>Acknowledgment of Contribution (“Substantiation”)</w:t>
      </w:r>
    </w:p>
    <w:p w:rsidR="00D2133C" w:rsidRPr="00AC57D1" w:rsidRDefault="00D2133C" w:rsidP="00D2133C"/>
    <w:p w:rsidR="00D2133C" w:rsidRPr="00AC57D1" w:rsidRDefault="00D2133C" w:rsidP="00D2133C">
      <w:r w:rsidRPr="00AC57D1">
        <w:t>The IRS requires that the donor of any charitable contribution, including a CE, worth $250 or more obtain certain documentation of the gift,</w:t>
      </w:r>
      <w:r w:rsidRPr="00AC57D1">
        <w:rPr>
          <w:vertAlign w:val="superscript"/>
        </w:rPr>
        <w:footnoteReference w:id="5"/>
      </w:r>
      <w:r w:rsidRPr="00AC57D1">
        <w:t xml:space="preserve"> including a contemporaneous written acknowledgment (“substantiation</w:t>
      </w:r>
      <w:r>
        <w:t xml:space="preserve"> letter</w:t>
      </w:r>
      <w:r w:rsidRPr="00AC57D1">
        <w:t xml:space="preserve">”) from the </w:t>
      </w:r>
      <w:proofErr w:type="spellStart"/>
      <w:r w:rsidRPr="00AC57D1">
        <w:t>donee</w:t>
      </w:r>
      <w:proofErr w:type="spellEnd"/>
      <w:r w:rsidRPr="00AC57D1">
        <w:t xml:space="preserve">.  </w:t>
      </w:r>
      <w:r>
        <w:t>Shortly after receiving your CE gift, t</w:t>
      </w:r>
      <w:r w:rsidRPr="00AC57D1">
        <w:t xml:space="preserve">he Forest Society </w:t>
      </w:r>
      <w:r>
        <w:t xml:space="preserve">will </w:t>
      </w:r>
      <w:r w:rsidRPr="00AC57D1">
        <w:t xml:space="preserve">routinely provide a letter to </w:t>
      </w:r>
      <w:r>
        <w:t>you</w:t>
      </w:r>
      <w:r w:rsidRPr="00AC57D1">
        <w:t xml:space="preserve"> accomplishing this </w:t>
      </w:r>
      <w:r>
        <w:t>step</w:t>
      </w:r>
      <w:r w:rsidRPr="00AC57D1">
        <w:t xml:space="preserve">.  </w:t>
      </w:r>
    </w:p>
    <w:p w:rsidR="00D2133C" w:rsidRPr="00AC57D1" w:rsidRDefault="00D2133C" w:rsidP="00D2133C">
      <w:pPr>
        <w:rPr>
          <w:b/>
          <w:u w:val="single"/>
        </w:rPr>
      </w:pPr>
    </w:p>
    <w:p w:rsidR="00D2133C" w:rsidRPr="00AC57D1" w:rsidRDefault="00D2133C" w:rsidP="00D2133C">
      <w:pPr>
        <w:rPr>
          <w:b/>
          <w:u w:val="single"/>
        </w:rPr>
      </w:pPr>
      <w:r w:rsidRPr="00AC57D1">
        <w:rPr>
          <w:b/>
          <w:u w:val="single"/>
        </w:rPr>
        <w:t>IRS Form 8283, “Noncash Charitable Contributions”</w:t>
      </w:r>
    </w:p>
    <w:p w:rsidR="00D2133C" w:rsidRPr="00AC57D1" w:rsidRDefault="00D2133C" w:rsidP="00D2133C">
      <w:pPr>
        <w:rPr>
          <w:b/>
          <w:u w:val="single"/>
        </w:rPr>
      </w:pPr>
    </w:p>
    <w:p w:rsidR="00D2133C" w:rsidRDefault="00D2133C" w:rsidP="00D2133C">
      <w:r>
        <w:t>T</w:t>
      </w:r>
      <w:r w:rsidRPr="00AC57D1">
        <w:t xml:space="preserve">o claim a charitable deduction for </w:t>
      </w:r>
      <w:r>
        <w:t>your</w:t>
      </w:r>
      <w:r w:rsidRPr="00AC57D1">
        <w:t xml:space="preserve"> gift of a CE</w:t>
      </w:r>
      <w:r>
        <w:t>, you</w:t>
      </w:r>
      <w:r w:rsidRPr="00AC57D1">
        <w:t xml:space="preserve"> must file IRS Form 8283 </w:t>
      </w:r>
      <w:r w:rsidRPr="00BA7113">
        <w:t>“Noncash Charitable Contributions” with your federal income tax return for the year of your gift.  For claiming a deduction of more than $5,000, you must get this Form signed by both your</w:t>
      </w:r>
      <w:r>
        <w:t xml:space="preserve"> appraiser and the Forest Society, whose land agent will review the Form for completeness and accuracy prior to signing.  Whoever prepares your tax return should pay close attention to the IRS’ detailed instructions for Form 8283, including the required “</w:t>
      </w:r>
      <w:r w:rsidRPr="00AC57D1">
        <w:t>Supplemental Statement”</w:t>
      </w:r>
      <w:r>
        <w:t xml:space="preserve"> described therein, as mistakes on this Form are common and can delay the tax filing process.  The Forest Society’s land agent will be happy to review any preliminary draft of this Form at your request.  </w:t>
      </w:r>
      <w:r>
        <w:lastRenderedPageBreak/>
        <w:t>For all of the above reasons, it’s important that you initiate the completion of your Form 8283 soon after making your CE gift and securing your IRS appraisal</w:t>
      </w:r>
      <w:r w:rsidRPr="00AC57D1">
        <w:t>.</w:t>
      </w:r>
      <w:r>
        <w:t xml:space="preserve">  </w:t>
      </w:r>
    </w:p>
    <w:p w:rsidR="00D2133C" w:rsidRDefault="00D2133C" w:rsidP="00D2133C">
      <w:pPr>
        <w:rPr>
          <w:b/>
        </w:rPr>
      </w:pPr>
    </w:p>
    <w:p w:rsidR="00D2133C" w:rsidRDefault="00D2133C" w:rsidP="00D2133C">
      <w:pPr>
        <w:rPr>
          <w:b/>
        </w:rPr>
      </w:pPr>
      <w:r w:rsidRPr="00AC57D1">
        <w:rPr>
          <w:b/>
        </w:rPr>
        <w:t xml:space="preserve">If the Forest Society has significant concerns about the accuracy or completeness of </w:t>
      </w:r>
      <w:r>
        <w:rPr>
          <w:b/>
        </w:rPr>
        <w:t xml:space="preserve">your </w:t>
      </w:r>
      <w:r w:rsidRPr="00AC57D1">
        <w:rPr>
          <w:b/>
        </w:rPr>
        <w:t>Form 8283, the Forest Society may decline to sign it.</w:t>
      </w:r>
    </w:p>
    <w:p w:rsidR="00D2133C" w:rsidRDefault="00D2133C" w:rsidP="00D2133C">
      <w:pPr>
        <w:rPr>
          <w:b/>
        </w:rPr>
      </w:pPr>
    </w:p>
    <w:p w:rsidR="00D2133C" w:rsidRPr="00C87697" w:rsidRDefault="00D2133C" w:rsidP="00D2133C">
      <w:pPr>
        <w:rPr>
          <w:b/>
        </w:rPr>
      </w:pPr>
      <w:r w:rsidRPr="00C87697">
        <w:rPr>
          <w:b/>
        </w:rPr>
        <w:t xml:space="preserve">SEE </w:t>
      </w:r>
      <w:r w:rsidRPr="000E42E0">
        <w:rPr>
          <w:b/>
          <w:i/>
          <w:u w:val="single"/>
        </w:rPr>
        <w:t>ATTACHMENT B</w:t>
      </w:r>
      <w:r w:rsidRPr="00C87697">
        <w:rPr>
          <w:b/>
        </w:rPr>
        <w:t xml:space="preserve"> FOR IMPORTANT ADDITIONAL DETAILS ON </w:t>
      </w:r>
      <w:r>
        <w:rPr>
          <w:b/>
        </w:rPr>
        <w:t>COMPLETING AND FILING IRS FORM 8283</w:t>
      </w:r>
      <w:r w:rsidRPr="00C87697">
        <w:rPr>
          <w:b/>
        </w:rPr>
        <w:t>.</w:t>
      </w:r>
    </w:p>
    <w:p w:rsidR="00D2133C" w:rsidRDefault="00D2133C" w:rsidP="00D2133C">
      <w:pPr>
        <w:rPr>
          <w:b/>
        </w:rPr>
      </w:pPr>
    </w:p>
    <w:p w:rsidR="00D2133C" w:rsidRDefault="00D2133C" w:rsidP="00D2133C">
      <w:pPr>
        <w:rPr>
          <w:b/>
        </w:rPr>
      </w:pPr>
    </w:p>
    <w:p w:rsidR="00D2133C" w:rsidRPr="00AC57D1" w:rsidRDefault="00D2133C" w:rsidP="00D2133C">
      <w:pPr>
        <w:rPr>
          <w:b/>
          <w:szCs w:val="20"/>
          <w:u w:val="single"/>
        </w:rPr>
      </w:pPr>
      <w:r w:rsidRPr="00AC57D1">
        <w:rPr>
          <w:b/>
          <w:szCs w:val="20"/>
          <w:u w:val="single"/>
        </w:rPr>
        <w:t>Landowner Acknowledgment</w:t>
      </w:r>
    </w:p>
    <w:p w:rsidR="00D2133C" w:rsidRPr="00AC57D1" w:rsidRDefault="00D2133C" w:rsidP="00D2133C">
      <w:pPr>
        <w:rPr>
          <w:b/>
          <w:szCs w:val="20"/>
          <w:u w:val="single"/>
        </w:rPr>
      </w:pPr>
    </w:p>
    <w:p w:rsidR="00D2133C" w:rsidRPr="000567CD" w:rsidRDefault="00D2133C" w:rsidP="00D2133C">
      <w:pPr>
        <w:rPr>
          <w:b/>
          <w:u w:val="single"/>
        </w:rPr>
      </w:pPr>
      <w:r w:rsidRPr="00AC57D1">
        <w:rPr>
          <w:szCs w:val="20"/>
        </w:rPr>
        <w:t>I/We received this</w:t>
      </w:r>
      <w:r>
        <w:rPr>
          <w:szCs w:val="20"/>
        </w:rPr>
        <w:t xml:space="preserve"> information entitled</w:t>
      </w:r>
      <w:r w:rsidRPr="00AC57D1">
        <w:rPr>
          <w:szCs w:val="20"/>
        </w:rPr>
        <w:t xml:space="preserve"> </w:t>
      </w:r>
      <w:r>
        <w:rPr>
          <w:szCs w:val="20"/>
        </w:rPr>
        <w:t>“</w:t>
      </w:r>
      <w:r w:rsidRPr="00864A4F">
        <w:t xml:space="preserve">Claiming an Income Tax Deduction </w:t>
      </w:r>
      <w:r w:rsidRPr="00864A4F">
        <w:rPr>
          <w:szCs w:val="20"/>
        </w:rPr>
        <w:t>for Your Full or Partial Gift of Conservation Easement</w:t>
      </w:r>
      <w:r w:rsidRPr="00377256">
        <w:rPr>
          <w:szCs w:val="20"/>
        </w:rPr>
        <w:t>”</w:t>
      </w:r>
      <w:r w:rsidRPr="00AC57D1">
        <w:rPr>
          <w:szCs w:val="20"/>
        </w:rPr>
        <w:t xml:space="preserve"> </w:t>
      </w:r>
      <w:r>
        <w:rPr>
          <w:szCs w:val="20"/>
        </w:rPr>
        <w:t xml:space="preserve">(including Attachments A and B) </w:t>
      </w:r>
      <w:r w:rsidRPr="00AC57D1">
        <w:rPr>
          <w:szCs w:val="20"/>
        </w:rPr>
        <w:t xml:space="preserve">on </w:t>
      </w:r>
      <w:r w:rsidRPr="005D650B">
        <w:rPr>
          <w:szCs w:val="20"/>
        </w:rPr>
        <w:t>______________________, 20___, from ________________________________________, of</w:t>
      </w:r>
      <w:r w:rsidRPr="00AC57D1">
        <w:rPr>
          <w:szCs w:val="20"/>
        </w:rPr>
        <w:t xml:space="preserve"> the Society for the Protection of New Hampshire Forests.</w:t>
      </w:r>
    </w:p>
    <w:p w:rsidR="00D2133C" w:rsidRPr="00AC57D1" w:rsidRDefault="00D2133C" w:rsidP="00D2133C">
      <w:pPr>
        <w:rPr>
          <w:szCs w:val="20"/>
        </w:rPr>
      </w:pPr>
    </w:p>
    <w:p w:rsidR="00D2133C" w:rsidRDefault="00D2133C" w:rsidP="00D2133C">
      <w:pPr>
        <w:rPr>
          <w:szCs w:val="20"/>
        </w:rPr>
      </w:pPr>
    </w:p>
    <w:p w:rsidR="00D2133C" w:rsidRPr="00AC57D1" w:rsidRDefault="00D2133C" w:rsidP="00D2133C">
      <w:pPr>
        <w:rPr>
          <w:szCs w:val="20"/>
        </w:rPr>
      </w:pPr>
      <w:r w:rsidRPr="00AC57D1">
        <w:rPr>
          <w:szCs w:val="20"/>
        </w:rPr>
        <w:t>______________________________________________________</w:t>
      </w:r>
      <w:r>
        <w:rPr>
          <w:szCs w:val="20"/>
        </w:rPr>
        <w:t>_______________________</w:t>
      </w:r>
    </w:p>
    <w:p w:rsidR="00D2133C" w:rsidRPr="00AC57D1" w:rsidRDefault="00D2133C" w:rsidP="00D2133C">
      <w:pPr>
        <w:rPr>
          <w:i/>
          <w:sz w:val="16"/>
          <w:szCs w:val="16"/>
        </w:rPr>
      </w:pPr>
      <w:r w:rsidRPr="00AC57D1">
        <w:rPr>
          <w:i/>
          <w:sz w:val="16"/>
          <w:szCs w:val="16"/>
        </w:rPr>
        <w:t>Landowner signature</w:t>
      </w:r>
      <w:r>
        <w:rPr>
          <w:i/>
          <w:sz w:val="16"/>
          <w:szCs w:val="16"/>
        </w:rPr>
        <w:t>(s)</w:t>
      </w:r>
    </w:p>
    <w:p w:rsidR="00D2133C" w:rsidRPr="00AC57D1" w:rsidRDefault="00D2133C" w:rsidP="00D2133C">
      <w:pPr>
        <w:rPr>
          <w:i/>
          <w:sz w:val="16"/>
          <w:szCs w:val="16"/>
        </w:rPr>
      </w:pPr>
    </w:p>
    <w:p w:rsidR="00D2133C" w:rsidRDefault="00D2133C" w:rsidP="00D2133C">
      <w:pPr>
        <w:rPr>
          <w:b/>
        </w:rPr>
      </w:pPr>
      <w:r w:rsidRPr="00AC57D1">
        <w:rPr>
          <w:b/>
        </w:rPr>
        <w:t>PLEASE COMPLETE AND RETURN THIS FORM TO THE RELEVANT LAND AGENT AT:  SPNHF, 54 PORTSMOUTH ST., CONCORD, NH  03301</w:t>
      </w:r>
    </w:p>
    <w:p w:rsidR="00D2133C" w:rsidRPr="00FD2820" w:rsidRDefault="00D2133C" w:rsidP="00D2133C">
      <w:pPr>
        <w:spacing w:line="180" w:lineRule="exact"/>
        <w:rPr>
          <w:rFonts w:ascii="Arial" w:hAnsi="Arial" w:cs="Arial"/>
          <w:sz w:val="16"/>
        </w:rPr>
      </w:pPr>
      <w:r>
        <w:br w:type="page"/>
      </w:r>
    </w:p>
    <w:p w:rsidR="00D2133C" w:rsidRPr="000567CD" w:rsidRDefault="00D2133C" w:rsidP="00D2133C">
      <w:pPr>
        <w:spacing w:line="180" w:lineRule="exact"/>
        <w:jc w:val="center"/>
        <w:rPr>
          <w:b/>
        </w:rPr>
      </w:pPr>
      <w:r w:rsidRPr="000567CD">
        <w:rPr>
          <w:b/>
        </w:rPr>
        <w:lastRenderedPageBreak/>
        <w:t>A</w:t>
      </w:r>
      <w:r>
        <w:rPr>
          <w:b/>
        </w:rPr>
        <w:t>ttachment</w:t>
      </w:r>
      <w:r w:rsidRPr="000567CD">
        <w:rPr>
          <w:b/>
        </w:rPr>
        <w:t xml:space="preserve"> A—Additional Information about Appraisal Requirements</w:t>
      </w:r>
    </w:p>
    <w:p w:rsidR="00D2133C" w:rsidRDefault="00D2133C" w:rsidP="00D2133C">
      <w:pPr>
        <w:spacing w:line="180" w:lineRule="exact"/>
      </w:pPr>
    </w:p>
    <w:p w:rsidR="00D2133C" w:rsidRDefault="00D2133C" w:rsidP="00D2133C"/>
    <w:p w:rsidR="00D2133C" w:rsidRDefault="00D2133C" w:rsidP="00D2133C">
      <w:r w:rsidRPr="00E05C05">
        <w:t>The IRS</w:t>
      </w:r>
      <w:r>
        <w:t xml:space="preserve"> requires you to use a “</w:t>
      </w:r>
      <w:r w:rsidRPr="00391008">
        <w:rPr>
          <w:b/>
        </w:rPr>
        <w:t>qualified appraiser</w:t>
      </w:r>
      <w:r>
        <w:t>” for preparing a “</w:t>
      </w:r>
      <w:r w:rsidRPr="00391008">
        <w:rPr>
          <w:b/>
        </w:rPr>
        <w:t>qualified appraisal</w:t>
      </w:r>
      <w:r>
        <w:t xml:space="preserve">” </w:t>
      </w:r>
      <w:r w:rsidRPr="00AC57D1">
        <w:t>in accordance with the</w:t>
      </w:r>
      <w:r w:rsidRPr="00AC57D1">
        <w:rPr>
          <w:b/>
        </w:rPr>
        <w:t xml:space="preserve"> Uniform Standards of Professi</w:t>
      </w:r>
      <w:r>
        <w:rPr>
          <w:b/>
        </w:rPr>
        <w:t>onal Appraisal Practice (USPAP</w:t>
      </w:r>
      <w:r w:rsidRPr="002F3D3D">
        <w:rPr>
          <w:b/>
        </w:rPr>
        <w:t xml:space="preserve">) </w:t>
      </w:r>
      <w:r w:rsidRPr="002F3D3D">
        <w:t>and other regulations developed by the U.S. Treasury Department in order for you to claim a</w:t>
      </w:r>
      <w:r>
        <w:t xml:space="preserve"> charitable income tax deduction for your gift of a CE</w:t>
      </w:r>
      <w:r>
        <w:rPr>
          <w:rStyle w:val="FootnoteReference"/>
        </w:rPr>
        <w:footnoteReference w:id="6"/>
      </w:r>
      <w:r>
        <w:t>.  Not all appraisers meet these requirements, nor do real estate brokers who might offer to prepare a “letter opinion of value.”</w:t>
      </w:r>
    </w:p>
    <w:p w:rsidR="00D2133C" w:rsidRDefault="00D2133C" w:rsidP="00D2133C">
      <w:pPr>
        <w:rPr>
          <w:b/>
        </w:rPr>
      </w:pPr>
    </w:p>
    <w:p w:rsidR="00D2133C" w:rsidRPr="00156E26" w:rsidRDefault="00D2133C" w:rsidP="00D2133C">
      <w:r>
        <w:t>Generally, t</w:t>
      </w:r>
      <w:r w:rsidRPr="00AC57D1">
        <w:t xml:space="preserve">he appraiser </w:t>
      </w:r>
      <w:r>
        <w:t xml:space="preserve">must use </w:t>
      </w:r>
      <w:r w:rsidRPr="004E3DB7">
        <w:t>the “</w:t>
      </w:r>
      <w:r w:rsidRPr="005B58AD">
        <w:rPr>
          <w:b/>
        </w:rPr>
        <w:t>Before and After Method</w:t>
      </w:r>
      <w:r w:rsidRPr="004E3DB7">
        <w:t>” for</w:t>
      </w:r>
      <w:r>
        <w:t xml:space="preserve"> deriving the fair market value of the CE</w:t>
      </w:r>
      <w:r>
        <w:rPr>
          <w:vertAlign w:val="superscript"/>
        </w:rPr>
        <w:footnoteReference w:id="7"/>
      </w:r>
      <w:r>
        <w:t xml:space="preserve">.  Specifically, the value of the CE is the difference between the value of your property </w:t>
      </w:r>
      <w:r>
        <w:rPr>
          <w:u w:val="single"/>
        </w:rPr>
        <w:t>before</w:t>
      </w:r>
      <w:r>
        <w:t xml:space="preserve"> you create the CE, and the typically lower value of your property </w:t>
      </w:r>
      <w:r>
        <w:rPr>
          <w:u w:val="single"/>
        </w:rPr>
        <w:t>after</w:t>
      </w:r>
      <w:r>
        <w:t xml:space="preserve"> encumbrance by the CE.  To accomplish this, </w:t>
      </w:r>
      <w:r w:rsidRPr="005F0670">
        <w:t>the appraiser</w:t>
      </w:r>
      <w:r w:rsidRPr="00D2246A">
        <w:t xml:space="preserve"> will examin</w:t>
      </w:r>
      <w:r>
        <w:t>e closely</w:t>
      </w:r>
      <w:r w:rsidRPr="00D2246A">
        <w:t xml:space="preserve"> </w:t>
      </w:r>
      <w:r>
        <w:t xml:space="preserve">the restrictions of the CE, the use rights that you retain, </w:t>
      </w:r>
      <w:r w:rsidRPr="00D2246A">
        <w:t>local land use regulations</w:t>
      </w:r>
      <w:r>
        <w:t>,</w:t>
      </w:r>
      <w:r w:rsidRPr="00D2246A">
        <w:t xml:space="preserve"> </w:t>
      </w:r>
      <w:r>
        <w:t xml:space="preserve">real estate </w:t>
      </w:r>
      <w:r w:rsidRPr="00D2246A">
        <w:t>market co</w:t>
      </w:r>
      <w:r>
        <w:t xml:space="preserve">nditions, and </w:t>
      </w:r>
      <w:r w:rsidRPr="00D2246A">
        <w:t xml:space="preserve">the characteristics of </w:t>
      </w:r>
      <w:r>
        <w:t>your</w:t>
      </w:r>
      <w:r w:rsidRPr="00D2246A">
        <w:t xml:space="preserve"> land including </w:t>
      </w:r>
      <w:r>
        <w:t>its</w:t>
      </w:r>
      <w:r w:rsidRPr="00D2246A">
        <w:t xml:space="preserve"> size</w:t>
      </w:r>
      <w:r>
        <w:t>,</w:t>
      </w:r>
      <w:r w:rsidRPr="00D2246A">
        <w:t xml:space="preserve"> topography, </w:t>
      </w:r>
      <w:r>
        <w:t xml:space="preserve">soils, and </w:t>
      </w:r>
      <w:r w:rsidRPr="00D2246A">
        <w:t>access</w:t>
      </w:r>
      <w:r w:rsidRPr="00156E26">
        <w:t xml:space="preserve">.  The appraiser must include in the “before” and “after” analyses any </w:t>
      </w:r>
      <w:r w:rsidRPr="00F22FB2">
        <w:rPr>
          <w:b/>
        </w:rPr>
        <w:t>property that’s contiguous</w:t>
      </w:r>
      <w:r w:rsidRPr="00156E26">
        <w:t xml:space="preserve"> to the CE area and owned </w:t>
      </w:r>
      <w:r>
        <w:t xml:space="preserve">either </w:t>
      </w:r>
      <w:r w:rsidRPr="00156E26">
        <w:t xml:space="preserve">by </w:t>
      </w:r>
      <w:r>
        <w:t>you</w:t>
      </w:r>
      <w:r w:rsidRPr="00156E26">
        <w:t xml:space="preserve"> or </w:t>
      </w:r>
      <w:r>
        <w:t xml:space="preserve">by other family members defined as </w:t>
      </w:r>
      <w:r w:rsidRPr="00BA7113">
        <w:t>your “</w:t>
      </w:r>
      <w:r w:rsidRPr="00BA7113">
        <w:rPr>
          <w:color w:val="000000"/>
          <w:shd w:val="clear" w:color="auto" w:fill="FFFFFF"/>
        </w:rPr>
        <w:t xml:space="preserve">brothers and sisters (whether by the whole or </w:t>
      </w:r>
      <w:proofErr w:type="spellStart"/>
      <w:r w:rsidRPr="00BA7113">
        <w:rPr>
          <w:color w:val="000000"/>
          <w:shd w:val="clear" w:color="auto" w:fill="FFFFFF"/>
        </w:rPr>
        <w:t>half blood</w:t>
      </w:r>
      <w:proofErr w:type="spellEnd"/>
      <w:r w:rsidRPr="00BA7113">
        <w:rPr>
          <w:color w:val="000000"/>
          <w:shd w:val="clear" w:color="auto" w:fill="FFFFFF"/>
        </w:rPr>
        <w:t>), spouse, ancestors, and lineal descendants.”</w:t>
      </w:r>
      <w:r w:rsidRPr="00BA7113">
        <w:rPr>
          <w:rStyle w:val="FootnoteReference"/>
        </w:rPr>
        <w:footnoteReference w:id="8"/>
      </w:r>
      <w:r w:rsidRPr="00BA7113">
        <w:t xml:space="preserve"> </w:t>
      </w:r>
      <w:r w:rsidRPr="00156E26">
        <w:t xml:space="preserve"> The most common instance of this would be the Donor’s residence and few acres immediately adjacent to and excluded from the CE area.</w:t>
      </w:r>
    </w:p>
    <w:p w:rsidR="00D2133C" w:rsidRPr="00156E26" w:rsidRDefault="00D2133C" w:rsidP="00D2133C"/>
    <w:p w:rsidR="00D2133C" w:rsidRPr="005B58AD" w:rsidRDefault="00D2133C" w:rsidP="00D2133C">
      <w:r w:rsidRPr="00156E26">
        <w:t>As part of the IRS’ so-called “</w:t>
      </w:r>
      <w:r w:rsidRPr="00F22FB2">
        <w:rPr>
          <w:b/>
        </w:rPr>
        <w:t>enhancement rule</w:t>
      </w:r>
      <w:r w:rsidRPr="00156E26">
        <w:t xml:space="preserve">,” the appraiser must also determine how much certain other properties in the vicinity might increase in value as a result of creation of the CE.  Any </w:t>
      </w:r>
      <w:r>
        <w:t xml:space="preserve">such </w:t>
      </w:r>
      <w:r w:rsidRPr="00156E26">
        <w:t xml:space="preserve">enhancement value must then be </w:t>
      </w:r>
      <w:r w:rsidRPr="00156E26">
        <w:rPr>
          <w:i/>
        </w:rPr>
        <w:t>subtracted</w:t>
      </w:r>
      <w:r w:rsidRPr="00156E26">
        <w:t xml:space="preserve"> from the </w:t>
      </w:r>
      <w:r>
        <w:t xml:space="preserve">CE’s </w:t>
      </w:r>
      <w:r w:rsidRPr="00156E26">
        <w:t xml:space="preserve">value </w:t>
      </w:r>
      <w:r>
        <w:t>(</w:t>
      </w:r>
      <w:r w:rsidRPr="00156E26">
        <w:t xml:space="preserve">calculated </w:t>
      </w:r>
      <w:r>
        <w:t>per above)</w:t>
      </w:r>
      <w:r w:rsidRPr="00156E26">
        <w:t xml:space="preserve"> to arrive at the amount of the deduction that </w:t>
      </w:r>
      <w:r>
        <w:t>you</w:t>
      </w:r>
      <w:r w:rsidRPr="00156E26">
        <w:t xml:space="preserve"> can </w:t>
      </w:r>
      <w:r w:rsidRPr="00BA7113">
        <w:t>claim for your CE gift.  The</w:t>
      </w:r>
      <w:r>
        <w:t xml:space="preserve"> enhancement rule only applies to other properties </w:t>
      </w:r>
      <w:r w:rsidRPr="00156E26">
        <w:t xml:space="preserve">owned by </w:t>
      </w:r>
      <w:r>
        <w:t>you</w:t>
      </w:r>
      <w:r w:rsidRPr="00156E26">
        <w:t xml:space="preserve">, </w:t>
      </w:r>
      <w:r>
        <w:t>family members (per above),</w:t>
      </w:r>
      <w:r w:rsidRPr="00156E26">
        <w:t xml:space="preserve"> or certain other “related persons” with financial ties to </w:t>
      </w:r>
      <w:r>
        <w:t>you</w:t>
      </w:r>
      <w:r w:rsidRPr="00156E26">
        <w:t xml:space="preserve"> through a trust, partnership, corporation, or estate</w:t>
      </w:r>
      <w:r w:rsidRPr="00156E26">
        <w:rPr>
          <w:rStyle w:val="FootnoteReference"/>
        </w:rPr>
        <w:t xml:space="preserve"> </w:t>
      </w:r>
      <w:r w:rsidRPr="00156E26">
        <w:t>.</w:t>
      </w:r>
      <w:r w:rsidRPr="00156E26">
        <w:rPr>
          <w:rStyle w:val="FootnoteReference"/>
        </w:rPr>
        <w:footnoteReference w:id="9"/>
      </w:r>
      <w:r w:rsidRPr="00156E26">
        <w:t xml:space="preserve">  A</w:t>
      </w:r>
      <w:r>
        <w:t>lso, a</w:t>
      </w:r>
      <w:r w:rsidRPr="00156E26">
        <w:t xml:space="preserve">lthough the IRS doesn’t explain how far away “in the vicinity” might be, the IRS is clear that this could include property </w:t>
      </w:r>
      <w:r>
        <w:t xml:space="preserve">that’s </w:t>
      </w:r>
      <w:r w:rsidRPr="00156E26">
        <w:t>beyond adjacency to the CE area</w:t>
      </w:r>
      <w:r>
        <w:t>.  C</w:t>
      </w:r>
      <w:r w:rsidRPr="00156E26">
        <w:t xml:space="preserve">onsult </w:t>
      </w:r>
      <w:r>
        <w:t>your</w:t>
      </w:r>
      <w:r w:rsidRPr="00156E26">
        <w:t xml:space="preserve"> counsel and appraiser to confirm what ownerships will require the appraiser’s consideration.</w:t>
      </w:r>
    </w:p>
    <w:p w:rsidR="00D2133C" w:rsidRDefault="00D2133C" w:rsidP="00D2133C">
      <w:pPr>
        <w:widowControl w:val="0"/>
        <w:tabs>
          <w:tab w:val="left" w:pos="0"/>
          <w:tab w:val="left" w:pos="550"/>
          <w:tab w:val="left" w:pos="770"/>
          <w:tab w:val="left" w:pos="7560"/>
        </w:tabs>
        <w:ind w:right="18"/>
        <w:rPr>
          <w:szCs w:val="20"/>
        </w:rPr>
      </w:pPr>
    </w:p>
    <w:p w:rsidR="00D2133C" w:rsidRPr="000E42E0" w:rsidRDefault="00D2133C" w:rsidP="00D2133C">
      <w:pPr>
        <w:widowControl w:val="0"/>
        <w:tabs>
          <w:tab w:val="left" w:pos="0"/>
          <w:tab w:val="left" w:pos="550"/>
          <w:tab w:val="left" w:pos="770"/>
          <w:tab w:val="left" w:pos="7560"/>
        </w:tabs>
        <w:ind w:right="18"/>
        <w:rPr>
          <w:szCs w:val="20"/>
        </w:rPr>
      </w:pPr>
      <w:r>
        <w:rPr>
          <w:szCs w:val="20"/>
        </w:rPr>
        <w:t xml:space="preserve">The IRS requires that the “qualified appraisal” be done within a certain </w:t>
      </w:r>
      <w:r>
        <w:rPr>
          <w:b/>
          <w:i/>
          <w:szCs w:val="20"/>
        </w:rPr>
        <w:t>timeframe</w:t>
      </w:r>
      <w:r>
        <w:rPr>
          <w:szCs w:val="20"/>
        </w:rPr>
        <w:t xml:space="preserve">.  Specifically, if you want to get your appraisal </w:t>
      </w:r>
      <w:r w:rsidRPr="0039034E">
        <w:rPr>
          <w:i/>
          <w:szCs w:val="20"/>
        </w:rPr>
        <w:t>before</w:t>
      </w:r>
      <w:r>
        <w:rPr>
          <w:szCs w:val="20"/>
        </w:rPr>
        <w:t xml:space="preserve"> you make your CE gift, you </w:t>
      </w:r>
      <w:r w:rsidRPr="007D65B1">
        <w:rPr>
          <w:szCs w:val="20"/>
        </w:rPr>
        <w:t xml:space="preserve">can do so, but you’ll need to complete your </w:t>
      </w:r>
      <w:r>
        <w:rPr>
          <w:szCs w:val="20"/>
        </w:rPr>
        <w:t>CE</w:t>
      </w:r>
      <w:r w:rsidRPr="007D65B1">
        <w:rPr>
          <w:szCs w:val="20"/>
        </w:rPr>
        <w:t xml:space="preserve"> contribution within 60 days after the appraisal’s valuation date (</w:t>
      </w:r>
      <w:r>
        <w:rPr>
          <w:szCs w:val="20"/>
        </w:rPr>
        <w:t xml:space="preserve">also known as the “as of” or “effective” date) to ensure that your appraisal remains up to date.  If you can’t complete your CE gift that quickly, your appraiser will need to update the appraisal, which can be quick and inexpensive, or not.  On the other hand, if you prefer to get your IRS appraisal </w:t>
      </w:r>
      <w:r w:rsidRPr="0039034E">
        <w:rPr>
          <w:i/>
          <w:szCs w:val="20"/>
        </w:rPr>
        <w:t>after</w:t>
      </w:r>
      <w:r>
        <w:rPr>
          <w:szCs w:val="20"/>
        </w:rPr>
        <w:t xml:space="preserve"> you’ve made your CE gift, the appraiser must complete the report by your tax filing deadline (including extensions) for the tax year of your CE gift and must use a valuation date that’s retroactive to the date of your </w:t>
      </w:r>
      <w:r w:rsidRPr="00B77466">
        <w:rPr>
          <w:szCs w:val="20"/>
        </w:rPr>
        <w:t>CE gift</w:t>
      </w:r>
      <w:r>
        <w:rPr>
          <w:szCs w:val="20"/>
        </w:rPr>
        <w:t xml:space="preserve">.  Finally, the IRS considers the official date of your CE </w:t>
      </w:r>
      <w:r>
        <w:rPr>
          <w:szCs w:val="20"/>
        </w:rPr>
        <w:lastRenderedPageBreak/>
        <w:t>gift to be the date that the CE is recorded at the county Registry of Deeds, not a potentially earlier date when you might have signed or delivered the CE to the Forest Society or when a Forest Society official might have signed it.  If you plan to make your CE gift at year’s end, you’ll want to coordinate closing logistics with the Forest Society’s land agent to ensure that your official CE gift date remains within the tax year about to end.</w:t>
      </w:r>
    </w:p>
    <w:p w:rsidR="00D2133C" w:rsidRDefault="00D2133C" w:rsidP="00D2133C"/>
    <w:p w:rsidR="00D2133C" w:rsidRDefault="00D2133C" w:rsidP="00D2133C">
      <w:r>
        <w:t>The IRS also requires a qualified appraisal to contain all of the following items summarized as follows:</w:t>
      </w:r>
    </w:p>
    <w:p w:rsidR="00D2133C" w:rsidRPr="000525C3" w:rsidRDefault="00D2133C" w:rsidP="00D2133C"/>
    <w:p w:rsidR="00D2133C" w:rsidRPr="00897C2B" w:rsidRDefault="00D2133C" w:rsidP="00D2133C">
      <w:pPr>
        <w:pStyle w:val="ListParagraph"/>
        <w:numPr>
          <w:ilvl w:val="0"/>
          <w:numId w:val="7"/>
        </w:numPr>
        <w:rPr>
          <w:rFonts w:ascii="Times New Roman" w:hAnsi="Times New Roman"/>
          <w:sz w:val="24"/>
          <w:szCs w:val="24"/>
        </w:rPr>
      </w:pPr>
      <w:r w:rsidRPr="00661831">
        <w:rPr>
          <w:rFonts w:ascii="Times New Roman" w:hAnsi="Times New Roman"/>
          <w:sz w:val="24"/>
          <w:szCs w:val="24"/>
        </w:rPr>
        <w:t xml:space="preserve">Description of the </w:t>
      </w:r>
      <w:r w:rsidRPr="00897C2B">
        <w:rPr>
          <w:rFonts w:ascii="Times New Roman" w:hAnsi="Times New Roman"/>
          <w:sz w:val="24"/>
          <w:szCs w:val="24"/>
        </w:rPr>
        <w:t>donated CE;</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Date of the contribution if the appraisal was prepared afterwards;</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Any agreement, understanding, or restriction about the use, sale, or disposition of the CE;</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Name, address, and identifying number of the qualified appraiser;</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Appraiser’s qualifications;</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Statement that the appraisal was prepared for income tax purposes;</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Date on which the property was appraised (“valuation date”);</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Appraised fair market value of the CE as of the valuation date;</w:t>
      </w:r>
    </w:p>
    <w:p w:rsidR="00D2133C" w:rsidRPr="00897C2B"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Method of valuation, e.g. income, market data, or replacement cost approach;  and</w:t>
      </w:r>
    </w:p>
    <w:p w:rsidR="00D2133C" w:rsidRPr="004E3DB7" w:rsidRDefault="00D2133C" w:rsidP="00D2133C">
      <w:pPr>
        <w:pStyle w:val="ListParagraph"/>
        <w:numPr>
          <w:ilvl w:val="0"/>
          <w:numId w:val="7"/>
        </w:numPr>
        <w:rPr>
          <w:rFonts w:ascii="Times New Roman" w:hAnsi="Times New Roman"/>
          <w:sz w:val="24"/>
          <w:szCs w:val="24"/>
        </w:rPr>
      </w:pPr>
      <w:r w:rsidRPr="00897C2B">
        <w:rPr>
          <w:rFonts w:ascii="Times New Roman" w:hAnsi="Times New Roman"/>
          <w:sz w:val="24"/>
          <w:szCs w:val="24"/>
        </w:rPr>
        <w:t>Specific basis for the valuation, e.g. comparable sales transaction</w:t>
      </w:r>
      <w:r>
        <w:rPr>
          <w:rFonts w:ascii="Times New Roman" w:hAnsi="Times New Roman"/>
          <w:sz w:val="24"/>
          <w:szCs w:val="24"/>
        </w:rPr>
        <w:t>.</w:t>
      </w:r>
    </w:p>
    <w:p w:rsidR="00D2133C" w:rsidRPr="00661831" w:rsidRDefault="00D2133C" w:rsidP="00D2133C">
      <w:r w:rsidRPr="00AC57D1">
        <w:t xml:space="preserve">If the Forest Society already obtained </w:t>
      </w:r>
      <w:r>
        <w:t>its own</w:t>
      </w:r>
      <w:r w:rsidRPr="00AC57D1">
        <w:t xml:space="preserve"> appraisal</w:t>
      </w:r>
      <w:r>
        <w:t xml:space="preserve"> prior to </w:t>
      </w:r>
      <w:proofErr w:type="gramStart"/>
      <w:r>
        <w:t>your</w:t>
      </w:r>
      <w:proofErr w:type="gramEnd"/>
      <w:r>
        <w:t xml:space="preserve"> getting your IRS appraisal</w:t>
      </w:r>
      <w:r w:rsidRPr="00AC57D1">
        <w:t xml:space="preserve">, </w:t>
      </w:r>
      <w:r>
        <w:t>you may find it</w:t>
      </w:r>
      <w:r w:rsidRPr="00AC57D1">
        <w:t xml:space="preserve"> efficient to hire that same appraiser to prepare </w:t>
      </w:r>
      <w:r>
        <w:t>your</w:t>
      </w:r>
      <w:r w:rsidRPr="00AC57D1">
        <w:t xml:space="preserve"> “qualified appraisal”</w:t>
      </w:r>
      <w:r>
        <w:t xml:space="preserve"> as well.  T</w:t>
      </w:r>
      <w:r w:rsidRPr="00AC57D1">
        <w:t xml:space="preserve">he </w:t>
      </w:r>
      <w:r>
        <w:t xml:space="preserve">appraiser may ask the </w:t>
      </w:r>
      <w:r w:rsidRPr="00AC57D1">
        <w:t>Forest Society</w:t>
      </w:r>
      <w:r>
        <w:t>, as the earlier client,</w:t>
      </w:r>
      <w:r w:rsidRPr="00AC57D1">
        <w:t xml:space="preserve"> </w:t>
      </w:r>
      <w:r>
        <w:t>to give permission</w:t>
      </w:r>
      <w:r w:rsidRPr="00AC57D1">
        <w:t xml:space="preserve"> </w:t>
      </w:r>
      <w:r>
        <w:t>to work with you, as the later client, on the same property</w:t>
      </w:r>
      <w:r w:rsidRPr="00AC57D1">
        <w:t>.</w:t>
      </w:r>
    </w:p>
    <w:p w:rsidR="00D2133C" w:rsidRPr="00AC57D1" w:rsidRDefault="00D2133C" w:rsidP="00D2133C"/>
    <w:p w:rsidR="00D2133C" w:rsidRDefault="00D2133C" w:rsidP="00D2133C">
      <w:r w:rsidRPr="00AC57D1">
        <w:t xml:space="preserve">If </w:t>
      </w:r>
      <w:r>
        <w:t xml:space="preserve">you get your IRS </w:t>
      </w:r>
      <w:r w:rsidRPr="00AC57D1">
        <w:t xml:space="preserve">appraisal </w:t>
      </w:r>
      <w:r w:rsidRPr="00AC57D1">
        <w:rPr>
          <w:u w:val="single"/>
        </w:rPr>
        <w:t>prior</w:t>
      </w:r>
      <w:r w:rsidRPr="00AC57D1">
        <w:t xml:space="preserve"> to closing, the Forest Society </w:t>
      </w:r>
      <w:r>
        <w:t>will ask</w:t>
      </w:r>
      <w:r w:rsidRPr="00AC57D1">
        <w:t xml:space="preserve"> to receive a copy </w:t>
      </w:r>
      <w:r>
        <w:t xml:space="preserve">of it </w:t>
      </w:r>
      <w:r w:rsidRPr="00AC57D1">
        <w:t xml:space="preserve">at least one week prior to </w:t>
      </w:r>
      <w:r>
        <w:t xml:space="preserve">the </w:t>
      </w:r>
      <w:r w:rsidRPr="00AC57D1">
        <w:t xml:space="preserve">closing, to give </w:t>
      </w:r>
      <w:r>
        <w:t>the land agent</w:t>
      </w:r>
      <w:r w:rsidRPr="00AC57D1">
        <w:t xml:space="preserve"> adequate time to review it.  </w:t>
      </w:r>
      <w:r>
        <w:t>Similarly, i</w:t>
      </w:r>
      <w:r w:rsidRPr="00AC57D1">
        <w:t xml:space="preserve">f </w:t>
      </w:r>
      <w:r>
        <w:t>you choose to get your</w:t>
      </w:r>
      <w:r w:rsidRPr="00AC57D1">
        <w:t xml:space="preserve"> </w:t>
      </w:r>
      <w:r>
        <w:t xml:space="preserve">IRS </w:t>
      </w:r>
      <w:r w:rsidRPr="00AC57D1">
        <w:t xml:space="preserve">appraisal </w:t>
      </w:r>
      <w:r w:rsidRPr="00AC57D1">
        <w:rPr>
          <w:u w:val="single"/>
        </w:rPr>
        <w:t xml:space="preserve">after </w:t>
      </w:r>
      <w:r w:rsidRPr="00AC57D1">
        <w:t xml:space="preserve">closing, </w:t>
      </w:r>
      <w:r>
        <w:t>you</w:t>
      </w:r>
      <w:r w:rsidRPr="00AC57D1">
        <w:t xml:space="preserve"> should provide a copy </w:t>
      </w:r>
      <w:r>
        <w:t xml:space="preserve">to the Forest Society’s land agent at least a week before getting </w:t>
      </w:r>
      <w:r w:rsidRPr="00AC57D1">
        <w:t>t</w:t>
      </w:r>
      <w:r>
        <w:t>he organization’s signature</w:t>
      </w:r>
      <w:r w:rsidRPr="00AC57D1">
        <w:t xml:space="preserve"> </w:t>
      </w:r>
      <w:r>
        <w:t>on your</w:t>
      </w:r>
      <w:r w:rsidRPr="00AC57D1">
        <w:t xml:space="preserve"> Form 8283.</w:t>
      </w:r>
      <w:r>
        <w:br w:type="page"/>
      </w:r>
    </w:p>
    <w:p w:rsidR="00D2133C" w:rsidRPr="000567CD" w:rsidRDefault="00D2133C" w:rsidP="00D2133C">
      <w:pPr>
        <w:spacing w:line="180" w:lineRule="exact"/>
        <w:jc w:val="center"/>
        <w:rPr>
          <w:b/>
        </w:rPr>
      </w:pPr>
      <w:r w:rsidRPr="000567CD">
        <w:rPr>
          <w:b/>
        </w:rPr>
        <w:lastRenderedPageBreak/>
        <w:t>A</w:t>
      </w:r>
      <w:r>
        <w:rPr>
          <w:b/>
        </w:rPr>
        <w:t>ttachment</w:t>
      </w:r>
      <w:r w:rsidRPr="000567CD">
        <w:rPr>
          <w:b/>
        </w:rPr>
        <w:t xml:space="preserve"> B—Additional Information </w:t>
      </w:r>
      <w:proofErr w:type="gramStart"/>
      <w:r w:rsidRPr="000567CD">
        <w:rPr>
          <w:b/>
        </w:rPr>
        <w:t>About</w:t>
      </w:r>
      <w:proofErr w:type="gramEnd"/>
      <w:r w:rsidRPr="000567CD">
        <w:rPr>
          <w:b/>
        </w:rPr>
        <w:t xml:space="preserve"> IRS Form 8283</w:t>
      </w:r>
      <w:r>
        <w:rPr>
          <w:b/>
        </w:rPr>
        <w:t>, “Noncash Charitable Contributions”</w:t>
      </w:r>
    </w:p>
    <w:p w:rsidR="00D2133C" w:rsidRDefault="00D2133C" w:rsidP="00D2133C">
      <w:pPr>
        <w:spacing w:line="180" w:lineRule="exact"/>
        <w:jc w:val="center"/>
      </w:pPr>
    </w:p>
    <w:p w:rsidR="00D2133C" w:rsidRDefault="00D2133C" w:rsidP="00D2133C">
      <w:pPr>
        <w:spacing w:line="180" w:lineRule="exact"/>
      </w:pPr>
    </w:p>
    <w:p w:rsidR="00D2133C" w:rsidRDefault="00D2133C" w:rsidP="00D2133C">
      <w:r w:rsidRPr="00AC57D1">
        <w:t xml:space="preserve">Section </w:t>
      </w:r>
      <w:proofErr w:type="gramStart"/>
      <w:r>
        <w:t>A</w:t>
      </w:r>
      <w:proofErr w:type="gramEnd"/>
      <w:r>
        <w:t xml:space="preserve"> of</w:t>
      </w:r>
      <w:r w:rsidRPr="00AC57D1">
        <w:t xml:space="preserve"> Form </w:t>
      </w:r>
      <w:r>
        <w:t xml:space="preserve">8283 </w:t>
      </w:r>
      <w:r w:rsidRPr="00AC57D1">
        <w:t xml:space="preserve">applies to </w:t>
      </w:r>
      <w:r>
        <w:t>charitable deductions not exceeding $5,000.  Section B is more commonly used for CE gifts, and is for deductions greater than $5,000.</w:t>
      </w:r>
    </w:p>
    <w:p w:rsidR="00D2133C" w:rsidRDefault="00D2133C" w:rsidP="00D2133C"/>
    <w:p w:rsidR="00D2133C" w:rsidRDefault="00D2133C" w:rsidP="00D2133C">
      <w:r>
        <w:t>You</w:t>
      </w:r>
      <w:r w:rsidRPr="00AC57D1">
        <w:t xml:space="preserve"> should complete </w:t>
      </w:r>
      <w:r>
        <w:t>your</w:t>
      </w:r>
      <w:r w:rsidRPr="00AC57D1">
        <w:t xml:space="preserve"> portion (Section B., Parts I and II) of the Form first.  </w:t>
      </w:r>
      <w:r>
        <w:t xml:space="preserve">In </w:t>
      </w:r>
      <w:r w:rsidRPr="00AC57D1">
        <w:t>Section B. Part I, Item 4</w:t>
      </w:r>
      <w:r>
        <w:t>, checking off the box</w:t>
      </w:r>
      <w:r w:rsidRPr="00AC57D1">
        <w:t xml:space="preserve"> for “Qualified Conservation Contribution” will apply to most eligible CE</w:t>
      </w:r>
      <w:r>
        <w:t xml:space="preserve"> gifts</w:t>
      </w:r>
      <w:r w:rsidRPr="00AC57D1">
        <w:t>.  Item 5.a., immediately following, asks for a specific description of the donated interest</w:t>
      </w:r>
      <w:r w:rsidR="00AA5FC0">
        <w:t xml:space="preserve">; </w:t>
      </w:r>
      <w:r>
        <w:t>this is</w:t>
      </w:r>
      <w:r w:rsidRPr="00AC57D1">
        <w:t xml:space="preserve"> an appropriate place to enter such information </w:t>
      </w:r>
      <w:proofErr w:type="gramStart"/>
      <w:r w:rsidRPr="00AC57D1">
        <w:t xml:space="preserve">as </w:t>
      </w:r>
      <w:r>
        <w:t>”</w:t>
      </w:r>
      <w:proofErr w:type="gramEnd"/>
      <w:r>
        <w:t>Conservation easement</w:t>
      </w:r>
      <w:r w:rsidRPr="00AC57D1">
        <w:t xml:space="preserve"> on __ ac</w:t>
      </w:r>
      <w:r>
        <w:t xml:space="preserve">., </w:t>
      </w:r>
      <w:r w:rsidRPr="00AC57D1">
        <w:t xml:space="preserve"> </w:t>
      </w:r>
      <w:r>
        <w:t xml:space="preserve">part of </w:t>
      </w:r>
      <w:r w:rsidRPr="00AC57D1">
        <w:t xml:space="preserve">Tax Map __, Lot __, on __ Rd., in </w:t>
      </w:r>
      <w:r>
        <w:t>T</w:t>
      </w:r>
      <w:r w:rsidRPr="00AC57D1">
        <w:t>own of __</w:t>
      </w:r>
      <w:r>
        <w:t>, NH</w:t>
      </w:r>
      <w:r w:rsidRPr="00AC57D1">
        <w:t>.</w:t>
      </w:r>
      <w:r>
        <w:t>”</w:t>
      </w:r>
      <w:r w:rsidRPr="00AC57D1">
        <w:t xml:space="preserve">  Other parts of Item 5 ask for financial data including the appraised fair market value of the CE</w:t>
      </w:r>
      <w:r>
        <w:t>, and also its cost basis</w:t>
      </w:r>
      <w:r w:rsidRPr="00AC57D1">
        <w:t>.</w:t>
      </w:r>
    </w:p>
    <w:p w:rsidR="00D2133C" w:rsidRDefault="00D2133C" w:rsidP="00D2133C"/>
    <w:p w:rsidR="00D2133C" w:rsidRPr="00197309" w:rsidRDefault="00D2133C" w:rsidP="00D2133C">
      <w:r>
        <w:t>You</w:t>
      </w:r>
      <w:r w:rsidRPr="00AC57D1">
        <w:t xml:space="preserve"> must include with Form 8283 a “Supplemental Statement” </w:t>
      </w:r>
      <w:r>
        <w:t>addressing four specific items</w:t>
      </w:r>
      <w:r w:rsidRPr="00AC57D1">
        <w:t xml:space="preserve"> explained in the </w:t>
      </w:r>
      <w:r>
        <w:t xml:space="preserve">Form 8283 </w:t>
      </w:r>
      <w:r w:rsidRPr="00AC57D1">
        <w:t>instructions.</w:t>
      </w:r>
      <w:r>
        <w:t xml:space="preserve"> </w:t>
      </w:r>
      <w:r w:rsidRPr="00AC57D1">
        <w:t xml:space="preserve"> </w:t>
      </w:r>
      <w:r>
        <w:t xml:space="preserve">Some landowners choose to include additional attachments, such as a copy of the recorded CE deed, the qualified appraisal, and/or the cover report of the Baseline Documentation Report, even though not required to do so.  If, however, you’re </w:t>
      </w:r>
      <w:r w:rsidRPr="00197309">
        <w:t xml:space="preserve">claiming a deduction larger than $500,000, you must include a copy of your appraisal with your tax return not only for the year of your initial gift but also for any subsequent years in which you </w:t>
      </w:r>
      <w:r>
        <w:t xml:space="preserve">might </w:t>
      </w:r>
      <w:r w:rsidRPr="00197309">
        <w:t>claim a “carryover” deduction.</w:t>
      </w:r>
    </w:p>
    <w:p w:rsidR="00D2133C" w:rsidRPr="00197309" w:rsidRDefault="00D2133C" w:rsidP="00D2133C"/>
    <w:p w:rsidR="00D2133C" w:rsidRDefault="00D2133C" w:rsidP="00D2133C">
      <w:pPr>
        <w:rPr>
          <w:b/>
        </w:rPr>
      </w:pPr>
      <w:r>
        <w:t>After filling out your part of Form 8283, y</w:t>
      </w:r>
      <w:r w:rsidRPr="00197309">
        <w:t xml:space="preserve">ou’d then forward </w:t>
      </w:r>
      <w:r>
        <w:t>it</w:t>
      </w:r>
      <w:r w:rsidRPr="00197309">
        <w:t xml:space="preserve"> </w:t>
      </w:r>
      <w:r>
        <w:t xml:space="preserve">with all attachments </w:t>
      </w:r>
      <w:r w:rsidRPr="00197309">
        <w:t>to your</w:t>
      </w:r>
      <w:r w:rsidRPr="00AC57D1">
        <w:t xml:space="preserve"> appraiser, who should complete and sign Part III and then forward the Form with </w:t>
      </w:r>
      <w:r>
        <w:t xml:space="preserve">all </w:t>
      </w:r>
      <w:r w:rsidRPr="00AC57D1">
        <w:t>attachment(s) to the Forest Society</w:t>
      </w:r>
      <w:r>
        <w:t>’s land agent</w:t>
      </w:r>
      <w:r w:rsidRPr="00AC57D1">
        <w:t xml:space="preserve">.  </w:t>
      </w:r>
      <w:r>
        <w:t>You</w:t>
      </w:r>
      <w:r w:rsidRPr="00AC57D1">
        <w:t xml:space="preserve"> should ensure the Forest Society’s receipt of a copy of </w:t>
      </w:r>
      <w:r>
        <w:t>your</w:t>
      </w:r>
      <w:r w:rsidRPr="00AC57D1">
        <w:t xml:space="preserve"> appraisal </w:t>
      </w:r>
      <w:r>
        <w:t>by</w:t>
      </w:r>
      <w:r w:rsidRPr="00AC57D1">
        <w:t xml:space="preserve"> this </w:t>
      </w:r>
      <w:r>
        <w:t xml:space="preserve">same </w:t>
      </w:r>
      <w:r w:rsidRPr="00AC57D1">
        <w:t xml:space="preserve">time, and should allow at least one week for review.  Once an authorized agent for the Forest Society fills out and signs Part IV of the Form, </w:t>
      </w:r>
      <w:r>
        <w:t>the land agent</w:t>
      </w:r>
      <w:r w:rsidRPr="00AC57D1">
        <w:t xml:space="preserve"> will then return the completed Form 8283 to </w:t>
      </w:r>
      <w:r>
        <w:t>you</w:t>
      </w:r>
      <w:r w:rsidRPr="00AC57D1">
        <w:t xml:space="preserve"> or </w:t>
      </w:r>
      <w:r>
        <w:t>your</w:t>
      </w:r>
      <w:r w:rsidRPr="00AC57D1">
        <w:t xml:space="preserve"> advisor as instructed</w:t>
      </w:r>
      <w:r>
        <w:t>, for filing with your tax return</w:t>
      </w:r>
      <w:r w:rsidRPr="00AC57D1">
        <w:t xml:space="preserve">.  </w:t>
      </w:r>
    </w:p>
    <w:p w:rsidR="00D2133C" w:rsidRDefault="00D2133C" w:rsidP="00D2133C">
      <w:pPr>
        <w:rPr>
          <w:b/>
        </w:rPr>
      </w:pPr>
    </w:p>
    <w:p w:rsidR="00D2133C" w:rsidRPr="00AC57D1" w:rsidRDefault="00D2133C" w:rsidP="00D2133C">
      <w:r w:rsidRPr="00864A4F">
        <w:rPr>
          <w:b/>
        </w:rPr>
        <w:t>You</w:t>
      </w:r>
      <w:r w:rsidRPr="00661831">
        <w:rPr>
          <w:b/>
        </w:rPr>
        <w:t xml:space="preserve"> should</w:t>
      </w:r>
      <w:r w:rsidRPr="00AC57D1">
        <w:t xml:space="preserve"> </w:t>
      </w:r>
      <w:r w:rsidRPr="00AC57D1">
        <w:rPr>
          <w:b/>
        </w:rPr>
        <w:t>start to complete Form 8283 well before</w:t>
      </w:r>
      <w:r>
        <w:rPr>
          <w:b/>
        </w:rPr>
        <w:t xml:space="preserve"> your tax filing deadline, and pay close attention to the instructions for Form 8283</w:t>
      </w:r>
      <w:r w:rsidRPr="00AC57D1">
        <w:t xml:space="preserve">.  </w:t>
      </w:r>
      <w:r>
        <w:t xml:space="preserve">The </w:t>
      </w:r>
      <w:r w:rsidRPr="00AC57D1">
        <w:t>Forest Society</w:t>
      </w:r>
      <w:r>
        <w:t>’s</w:t>
      </w:r>
      <w:r w:rsidRPr="00AC57D1">
        <w:t xml:space="preserve"> </w:t>
      </w:r>
      <w:r>
        <w:t>land agent</w:t>
      </w:r>
      <w:r w:rsidRPr="00AC57D1">
        <w:t xml:space="preserve"> </w:t>
      </w:r>
      <w:r>
        <w:t>will be</w:t>
      </w:r>
      <w:r w:rsidRPr="00AC57D1">
        <w:t xml:space="preserve"> happy to review a first draft</w:t>
      </w:r>
      <w:r>
        <w:t xml:space="preserve"> of your Form 8283</w:t>
      </w:r>
      <w:r w:rsidRPr="00AC57D1">
        <w:t>, if helpful.</w:t>
      </w:r>
    </w:p>
    <w:p w:rsidR="00D2133C" w:rsidRPr="00AC57D1" w:rsidRDefault="00D2133C" w:rsidP="00D2133C"/>
    <w:p w:rsidR="00D2133C" w:rsidRDefault="00D2133C" w:rsidP="00D2133C"/>
    <w:p w:rsidR="00D2133C" w:rsidRPr="00390AB4" w:rsidRDefault="00D2133C" w:rsidP="00D2133C">
      <w:pPr>
        <w:spacing w:line="180" w:lineRule="exact"/>
      </w:pPr>
    </w:p>
    <w:p w:rsidR="00722B96" w:rsidRPr="00AF05CD" w:rsidRDefault="00722B96" w:rsidP="00AF05CD"/>
    <w:sectPr w:rsidR="00722B96" w:rsidRPr="00AF05CD" w:rsidSect="006E07D8">
      <w:footerReference w:type="default" r:id="rId7"/>
      <w:headerReference w:type="first" r:id="rId8"/>
      <w:footerReference w:type="first" r:id="rId9"/>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C0" w:rsidRDefault="00AA5FC0" w:rsidP="0087275D">
      <w:r>
        <w:separator/>
      </w:r>
    </w:p>
  </w:endnote>
  <w:endnote w:type="continuationSeparator" w:id="0">
    <w:p w:rsidR="00AA5FC0" w:rsidRDefault="00AA5FC0" w:rsidP="008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388546"/>
      <w:docPartObj>
        <w:docPartGallery w:val="Page Numbers (Bottom of Page)"/>
        <w:docPartUnique/>
      </w:docPartObj>
    </w:sdtPr>
    <w:sdtEndPr>
      <w:rPr>
        <w:rFonts w:ascii="Times New Roman" w:hAnsi="Times New Roman"/>
        <w:noProof/>
        <w:sz w:val="24"/>
        <w:szCs w:val="24"/>
      </w:rPr>
    </w:sdtEndPr>
    <w:sdtContent>
      <w:p w:rsidR="00D2133C" w:rsidRPr="00D2133C" w:rsidRDefault="00AA5FC0">
        <w:pPr>
          <w:pStyle w:val="Footer"/>
          <w:jc w:val="center"/>
          <w:rPr>
            <w:rFonts w:ascii="Times New Roman" w:hAnsi="Times New Roman"/>
            <w:sz w:val="24"/>
            <w:szCs w:val="24"/>
          </w:rPr>
        </w:pPr>
        <w:r w:rsidRPr="00AA5FC0">
          <w:rPr>
            <w:rFonts w:ascii="Times New Roman" w:hAnsi="Times New Roman"/>
            <w:sz w:val="24"/>
            <w:szCs w:val="24"/>
          </w:rPr>
          <w:t xml:space="preserve">Page </w:t>
        </w:r>
        <w:r w:rsidR="00D2133C" w:rsidRPr="00AA5FC0">
          <w:rPr>
            <w:rFonts w:ascii="Times New Roman" w:hAnsi="Times New Roman"/>
            <w:sz w:val="24"/>
            <w:szCs w:val="24"/>
          </w:rPr>
          <w:fldChar w:fldCharType="begin"/>
        </w:r>
        <w:r w:rsidR="00D2133C" w:rsidRPr="00AA5FC0">
          <w:rPr>
            <w:rFonts w:ascii="Times New Roman" w:hAnsi="Times New Roman"/>
            <w:sz w:val="24"/>
            <w:szCs w:val="24"/>
          </w:rPr>
          <w:instrText xml:space="preserve"> PAGE   \* MERGEFORMAT </w:instrText>
        </w:r>
        <w:r w:rsidR="00D2133C" w:rsidRPr="00AA5FC0">
          <w:rPr>
            <w:rFonts w:ascii="Times New Roman" w:hAnsi="Times New Roman"/>
            <w:sz w:val="24"/>
            <w:szCs w:val="24"/>
          </w:rPr>
          <w:fldChar w:fldCharType="separate"/>
        </w:r>
        <w:r>
          <w:rPr>
            <w:rFonts w:ascii="Times New Roman" w:hAnsi="Times New Roman"/>
            <w:noProof/>
            <w:sz w:val="24"/>
            <w:szCs w:val="24"/>
          </w:rPr>
          <w:t>7</w:t>
        </w:r>
        <w:r w:rsidR="00D2133C" w:rsidRPr="00AA5FC0">
          <w:rPr>
            <w:rFonts w:ascii="Times New Roman" w:hAnsi="Times New Roman"/>
            <w:noProof/>
            <w:sz w:val="24"/>
            <w:szCs w:val="24"/>
          </w:rPr>
          <w:fldChar w:fldCharType="end"/>
        </w:r>
        <w:r w:rsidR="00D2133C" w:rsidRPr="00D2133C">
          <w:rPr>
            <w:rFonts w:ascii="Times New Roman" w:hAnsi="Times New Roman"/>
            <w:noProof/>
            <w:sz w:val="24"/>
            <w:szCs w:val="24"/>
          </w:rPr>
          <w:t xml:space="preserve"> (</w:t>
        </w:r>
        <w:r>
          <w:rPr>
            <w:rFonts w:ascii="Times New Roman" w:hAnsi="Times New Roman"/>
            <w:noProof/>
            <w:sz w:val="24"/>
            <w:szCs w:val="24"/>
          </w:rPr>
          <w:t xml:space="preserve">Rev. </w:t>
        </w:r>
        <w:r w:rsidR="00D2133C" w:rsidRPr="00D2133C">
          <w:rPr>
            <w:rFonts w:ascii="Times New Roman" w:hAnsi="Times New Roman"/>
            <w:noProof/>
            <w:sz w:val="24"/>
            <w:szCs w:val="24"/>
          </w:rPr>
          <w:t>20Feb2019)</w:t>
        </w:r>
      </w:p>
    </w:sdtContent>
  </w:sdt>
  <w:p w:rsidR="00D2133C" w:rsidRDefault="00D21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683552"/>
      <w:docPartObj>
        <w:docPartGallery w:val="Page Numbers (Bottom of Page)"/>
        <w:docPartUnique/>
      </w:docPartObj>
    </w:sdtPr>
    <w:sdtEndPr>
      <w:rPr>
        <w:rFonts w:ascii="Times New Roman" w:hAnsi="Times New Roman"/>
        <w:noProof/>
        <w:sz w:val="24"/>
        <w:szCs w:val="24"/>
      </w:rPr>
    </w:sdtEndPr>
    <w:sdtContent>
      <w:p w:rsidR="00AA5FC0" w:rsidRDefault="00AA5FC0" w:rsidP="00AA5FC0">
        <w:pPr>
          <w:pStyle w:val="Footer"/>
          <w:jc w:val="center"/>
          <w:rPr>
            <w:rFonts w:ascii="Times New Roman" w:hAnsi="Times New Roman"/>
            <w:noProof/>
            <w:sz w:val="24"/>
            <w:szCs w:val="24"/>
          </w:rPr>
        </w:pPr>
        <w:r w:rsidRPr="00AA5FC0">
          <w:rPr>
            <w:rFonts w:ascii="Times New Roman" w:hAnsi="Times New Roman"/>
            <w:sz w:val="24"/>
            <w:szCs w:val="24"/>
          </w:rPr>
          <w:t xml:space="preserve">Page </w:t>
        </w:r>
        <w:r w:rsidRPr="00AA5FC0">
          <w:rPr>
            <w:rFonts w:ascii="Times New Roman" w:hAnsi="Times New Roman"/>
            <w:sz w:val="24"/>
            <w:szCs w:val="24"/>
          </w:rPr>
          <w:fldChar w:fldCharType="begin"/>
        </w:r>
        <w:r w:rsidRPr="00AA5FC0">
          <w:rPr>
            <w:rFonts w:ascii="Times New Roman" w:hAnsi="Times New Roman"/>
            <w:sz w:val="24"/>
            <w:szCs w:val="24"/>
          </w:rPr>
          <w:instrText xml:space="preserve"> PAGE   \* MERGEFORMAT </w:instrText>
        </w:r>
        <w:r w:rsidRPr="00AA5FC0">
          <w:rPr>
            <w:rFonts w:ascii="Times New Roman" w:hAnsi="Times New Roman"/>
            <w:sz w:val="24"/>
            <w:szCs w:val="24"/>
          </w:rPr>
          <w:fldChar w:fldCharType="separate"/>
        </w:r>
        <w:r>
          <w:rPr>
            <w:rFonts w:ascii="Times New Roman" w:hAnsi="Times New Roman"/>
            <w:noProof/>
            <w:sz w:val="24"/>
            <w:szCs w:val="24"/>
          </w:rPr>
          <w:t>1</w:t>
        </w:r>
        <w:r w:rsidRPr="00AA5FC0">
          <w:rPr>
            <w:rFonts w:ascii="Times New Roman" w:hAnsi="Times New Roman"/>
            <w:noProof/>
            <w:sz w:val="24"/>
            <w:szCs w:val="24"/>
          </w:rPr>
          <w:fldChar w:fldCharType="end"/>
        </w:r>
        <w:r w:rsidRPr="00D2133C">
          <w:rPr>
            <w:rFonts w:ascii="Times New Roman" w:hAnsi="Times New Roman"/>
            <w:noProof/>
            <w:sz w:val="24"/>
            <w:szCs w:val="24"/>
          </w:rPr>
          <w:t xml:space="preserve"> (</w:t>
        </w:r>
        <w:r>
          <w:rPr>
            <w:rFonts w:ascii="Times New Roman" w:hAnsi="Times New Roman"/>
            <w:noProof/>
            <w:sz w:val="24"/>
            <w:szCs w:val="24"/>
          </w:rPr>
          <w:t xml:space="preserve">Rev. </w:t>
        </w:r>
        <w:r w:rsidRPr="00D2133C">
          <w:rPr>
            <w:rFonts w:ascii="Times New Roman" w:hAnsi="Times New Roman"/>
            <w:noProof/>
            <w:sz w:val="24"/>
            <w:szCs w:val="24"/>
          </w:rPr>
          <w:t>20Feb2019)</w:t>
        </w:r>
      </w:p>
    </w:sdtContent>
  </w:sdt>
  <w:p w:rsidR="00D2133C" w:rsidRDefault="00D2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C0" w:rsidRDefault="00AA5FC0" w:rsidP="0087275D">
      <w:r>
        <w:separator/>
      </w:r>
    </w:p>
  </w:footnote>
  <w:footnote w:type="continuationSeparator" w:id="0">
    <w:p w:rsidR="00AA5FC0" w:rsidRDefault="00AA5FC0" w:rsidP="0087275D">
      <w:r>
        <w:continuationSeparator/>
      </w:r>
    </w:p>
  </w:footnote>
  <w:footnote w:id="1">
    <w:p w:rsidR="00D2133C" w:rsidRPr="00396B88" w:rsidRDefault="00D2133C" w:rsidP="00D2133C">
      <w:pPr>
        <w:pStyle w:val="FootnoteText"/>
      </w:pPr>
      <w:r w:rsidRPr="00396B88">
        <w:rPr>
          <w:rStyle w:val="FootnoteReference"/>
        </w:rPr>
        <w:footnoteRef/>
      </w:r>
      <w:r w:rsidRPr="00396B88">
        <w:t xml:space="preserve"> This can be done by recording either a Partial Release of Mortgage, or a full Mortgage Discharge.</w:t>
      </w:r>
    </w:p>
  </w:footnote>
  <w:footnote w:id="2">
    <w:p w:rsidR="00D2133C" w:rsidRPr="00396B88" w:rsidRDefault="00D2133C" w:rsidP="00D2133C">
      <w:pPr>
        <w:rPr>
          <w:rFonts w:ascii="Calibri" w:eastAsia="Calibri" w:hAnsi="Calibri"/>
          <w:sz w:val="20"/>
        </w:rPr>
      </w:pPr>
      <w:r w:rsidRPr="00396B88">
        <w:rPr>
          <w:rStyle w:val="FootnoteReference"/>
        </w:rPr>
        <w:footnoteRef/>
      </w:r>
      <w:r w:rsidRPr="00396B88">
        <w:t xml:space="preserve"> </w:t>
      </w:r>
      <w:r w:rsidRPr="00396B88">
        <w:rPr>
          <w:sz w:val="20"/>
        </w:rPr>
        <w:t>See IR Code Sect. 170(h).</w:t>
      </w:r>
    </w:p>
  </w:footnote>
  <w:footnote w:id="3">
    <w:p w:rsidR="00D2133C" w:rsidRPr="00527E9B" w:rsidRDefault="00D2133C" w:rsidP="00D2133C">
      <w:pPr>
        <w:rPr>
          <w:rFonts w:ascii="Calibri" w:eastAsia="Calibri" w:hAnsi="Calibri"/>
          <w:b/>
          <w:sz w:val="20"/>
        </w:rPr>
      </w:pPr>
      <w:r w:rsidRPr="00396B88">
        <w:rPr>
          <w:rStyle w:val="FootnoteReference"/>
          <w:sz w:val="20"/>
          <w:szCs w:val="20"/>
        </w:rPr>
        <w:footnoteRef/>
      </w:r>
      <w:r>
        <w:rPr>
          <w:rFonts w:ascii="Calibri" w:eastAsia="Calibri" w:hAnsi="Calibri"/>
          <w:sz w:val="20"/>
        </w:rPr>
        <w:t xml:space="preserve">  See </w:t>
      </w:r>
      <w:r w:rsidRPr="00396B88">
        <w:rPr>
          <w:rFonts w:ascii="Calibri" w:eastAsia="Calibri" w:hAnsi="Calibri"/>
          <w:sz w:val="20"/>
        </w:rPr>
        <w:t xml:space="preserve">Treasury </w:t>
      </w:r>
      <w:proofErr w:type="spellStart"/>
      <w:r w:rsidRPr="00396B88">
        <w:rPr>
          <w:rFonts w:ascii="Calibri" w:eastAsia="Calibri" w:hAnsi="Calibri"/>
          <w:sz w:val="20"/>
        </w:rPr>
        <w:t>Regs</w:t>
      </w:r>
      <w:proofErr w:type="spellEnd"/>
      <w:r w:rsidRPr="00396B88">
        <w:rPr>
          <w:rFonts w:ascii="Calibri" w:eastAsia="Calibri" w:hAnsi="Calibri"/>
          <w:sz w:val="20"/>
        </w:rPr>
        <w:t>. Sect. 1.170A-14.</w:t>
      </w:r>
    </w:p>
  </w:footnote>
  <w:footnote w:id="4">
    <w:p w:rsidR="00D2133C" w:rsidRPr="00396B88" w:rsidRDefault="00D2133C" w:rsidP="00D2133C">
      <w:pPr>
        <w:pStyle w:val="FootnoteText"/>
      </w:pPr>
      <w:r w:rsidRPr="00396B88">
        <w:rPr>
          <w:rStyle w:val="FootnoteReference"/>
        </w:rPr>
        <w:footnoteRef/>
      </w:r>
      <w:r w:rsidRPr="00396B88">
        <w:t xml:space="preserve"> See</w:t>
      </w:r>
      <w:r>
        <w:t xml:space="preserve"> </w:t>
      </w:r>
      <w:r w:rsidRPr="00396B88">
        <w:t xml:space="preserve">Treasury </w:t>
      </w:r>
      <w:proofErr w:type="spellStart"/>
      <w:r w:rsidRPr="00396B88">
        <w:t>Regs</w:t>
      </w:r>
      <w:proofErr w:type="spellEnd"/>
      <w:r w:rsidRPr="00396B88">
        <w:t>. Sect</w:t>
      </w:r>
      <w:r>
        <w:t>s</w:t>
      </w:r>
      <w:r w:rsidRPr="00396B88">
        <w:t>. 1.170A-13 &amp; 1.170A-17.</w:t>
      </w:r>
    </w:p>
  </w:footnote>
  <w:footnote w:id="5">
    <w:p w:rsidR="00D2133C" w:rsidRDefault="00D2133C" w:rsidP="00D2133C">
      <w:pPr>
        <w:pStyle w:val="FootnoteText"/>
      </w:pPr>
      <w:r>
        <w:rPr>
          <w:rStyle w:val="FootnoteReference"/>
        </w:rPr>
        <w:footnoteRef/>
      </w:r>
      <w:r>
        <w:t xml:space="preserve"> See </w:t>
      </w:r>
      <w:r w:rsidRPr="00D341F4">
        <w:t>Internal</w:t>
      </w:r>
      <w:r>
        <w:t xml:space="preserve"> Revenue Code Sect. 170(f</w:t>
      </w:r>
      <w:proofErr w:type="gramStart"/>
      <w:r>
        <w:t>)(</w:t>
      </w:r>
      <w:proofErr w:type="gramEnd"/>
      <w:r>
        <w:t xml:space="preserve">8), plus Treasury </w:t>
      </w:r>
      <w:proofErr w:type="spellStart"/>
      <w:r>
        <w:t>Regs</w:t>
      </w:r>
      <w:proofErr w:type="spellEnd"/>
      <w:r>
        <w:t>. Sects. 1.170A-13 &amp; 1.170A-17.</w:t>
      </w:r>
    </w:p>
  </w:footnote>
  <w:footnote w:id="6">
    <w:p w:rsidR="00D2133C" w:rsidRDefault="00D2133C" w:rsidP="00D2133C">
      <w:pPr>
        <w:pStyle w:val="FootnoteText"/>
      </w:pPr>
      <w:r>
        <w:rPr>
          <w:rStyle w:val="FootnoteReference"/>
        </w:rPr>
        <w:footnoteRef/>
      </w:r>
      <w:r>
        <w:t xml:space="preserve"> For “qualified appraisal” requirements, see Treasury </w:t>
      </w:r>
      <w:proofErr w:type="spellStart"/>
      <w:r>
        <w:t>Regs</w:t>
      </w:r>
      <w:proofErr w:type="spellEnd"/>
      <w:r>
        <w:t>. Sects.</w:t>
      </w:r>
      <w:r w:rsidRPr="00FE5526">
        <w:t xml:space="preserve"> 1.170A-13(c</w:t>
      </w:r>
      <w:proofErr w:type="gramStart"/>
      <w:r w:rsidRPr="00FE5526">
        <w:t>)</w:t>
      </w:r>
      <w:r>
        <w:t>(</w:t>
      </w:r>
      <w:proofErr w:type="gramEnd"/>
      <w:r>
        <w:t>3) &amp; 1.170A-17(a)(1).  For “qualified appraiser,”</w:t>
      </w:r>
      <w:r w:rsidRPr="00396B88">
        <w:t xml:space="preserve"> </w:t>
      </w:r>
      <w:r>
        <w:t>see Sects. 1.170A-13(c</w:t>
      </w:r>
      <w:proofErr w:type="gramStart"/>
      <w:r>
        <w:t>)(</w:t>
      </w:r>
      <w:proofErr w:type="gramEnd"/>
      <w:r>
        <w:t>5) &amp; 1.170A-17(b)(1).</w:t>
      </w:r>
    </w:p>
  </w:footnote>
  <w:footnote w:id="7">
    <w:p w:rsidR="00D2133C" w:rsidRDefault="00D2133C" w:rsidP="00D2133C">
      <w:pPr>
        <w:pStyle w:val="FootnoteText"/>
      </w:pPr>
      <w:r>
        <w:rPr>
          <w:rStyle w:val="FootnoteReference"/>
        </w:rPr>
        <w:footnoteRef/>
      </w:r>
      <w:r>
        <w:t xml:space="preserve"> See Treasury </w:t>
      </w:r>
      <w:proofErr w:type="spellStart"/>
      <w:r>
        <w:t>Regs</w:t>
      </w:r>
      <w:proofErr w:type="spellEnd"/>
      <w:r>
        <w:t>. Sects. 1.170A-14(h) &amp; 1.170A-17.</w:t>
      </w:r>
    </w:p>
  </w:footnote>
  <w:footnote w:id="8">
    <w:p w:rsidR="00D2133C" w:rsidRDefault="00D2133C" w:rsidP="00D2133C">
      <w:pPr>
        <w:rPr>
          <w:color w:val="000000"/>
          <w:sz w:val="20"/>
          <w:szCs w:val="20"/>
          <w:shd w:val="clear" w:color="auto" w:fill="FFFFFF"/>
        </w:rPr>
      </w:pPr>
      <w:r>
        <w:rPr>
          <w:rStyle w:val="FootnoteReference"/>
        </w:rPr>
        <w:footnoteRef/>
      </w:r>
      <w:r>
        <w:t xml:space="preserve"> </w:t>
      </w:r>
      <w:r>
        <w:rPr>
          <w:sz w:val="20"/>
          <w:szCs w:val="20"/>
        </w:rPr>
        <w:t>For definition of “donor’s family,” see IRS Code Sect. 267(c</w:t>
      </w:r>
      <w:proofErr w:type="gramStart"/>
      <w:r>
        <w:rPr>
          <w:sz w:val="20"/>
          <w:szCs w:val="20"/>
        </w:rPr>
        <w:t>)(</w:t>
      </w:r>
      <w:proofErr w:type="gramEnd"/>
      <w:r>
        <w:rPr>
          <w:sz w:val="20"/>
          <w:szCs w:val="20"/>
        </w:rPr>
        <w:t>4).</w:t>
      </w:r>
    </w:p>
  </w:footnote>
  <w:footnote w:id="9">
    <w:p w:rsidR="00D2133C" w:rsidRDefault="00D2133C" w:rsidP="00D2133C">
      <w:pPr>
        <w:pStyle w:val="FootnoteText"/>
      </w:pPr>
      <w:r>
        <w:rPr>
          <w:rStyle w:val="FootnoteReference"/>
        </w:rPr>
        <w:footnoteRef/>
      </w:r>
      <w:r>
        <w:t xml:space="preserve"> </w:t>
      </w:r>
      <w:r>
        <w:rPr>
          <w:color w:val="000000"/>
          <w:shd w:val="clear" w:color="auto" w:fill="FFFFFF"/>
        </w:rPr>
        <w:t xml:space="preserve">For definition of “related persons,” see IRS Code Sect. </w:t>
      </w:r>
      <w:r>
        <w:t>267(b), which includes the “donor’s family” plus others with defined ties to a trust, estate, or corporation, and Sect. 707(b) re others with defined ties to a partnership.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96" w:rsidRDefault="00AF760F">
    <w:pPr>
      <w:pStyle w:val="Header"/>
    </w:pPr>
    <w:r>
      <w:rPr>
        <w:noProof/>
      </w:rPr>
      <w:drawing>
        <wp:anchor distT="0" distB="228600" distL="0" distR="228600" simplePos="0" relativeHeight="251660288" behindDoc="0" locked="0" layoutInCell="1" allowOverlap="1">
          <wp:simplePos x="0" y="0"/>
          <wp:positionH relativeFrom="page">
            <wp:posOffset>338455</wp:posOffset>
          </wp:positionH>
          <wp:positionV relativeFrom="page">
            <wp:posOffset>338455</wp:posOffset>
          </wp:positionV>
          <wp:extent cx="1024255" cy="2614930"/>
          <wp:effectExtent l="0" t="0" r="4445" b="0"/>
          <wp:wrapSquare wrapText="r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2614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1094"/>
    <w:multiLevelType w:val="hybridMultilevel"/>
    <w:tmpl w:val="8916B53C"/>
    <w:lvl w:ilvl="0" w:tplc="04090001">
      <w:start w:val="45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E0446"/>
    <w:multiLevelType w:val="hybridMultilevel"/>
    <w:tmpl w:val="BF7C6F56"/>
    <w:lvl w:ilvl="0" w:tplc="04090001">
      <w:start w:val="45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F475B"/>
    <w:multiLevelType w:val="hybridMultilevel"/>
    <w:tmpl w:val="B7FCD796"/>
    <w:lvl w:ilvl="0" w:tplc="48461666">
      <w:numFmt w:val="bullet"/>
      <w:lvlText w:val=""/>
      <w:lvlJc w:val="left"/>
      <w:pPr>
        <w:ind w:left="720" w:hanging="360"/>
      </w:pPr>
      <w:rPr>
        <w:rFonts w:ascii="Symbol" w:eastAsia="Times New Roman" w:hAnsi="Symbol"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166D1"/>
    <w:multiLevelType w:val="hybridMultilevel"/>
    <w:tmpl w:val="3AE84DA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63502"/>
    <w:multiLevelType w:val="hybridMultilevel"/>
    <w:tmpl w:val="8D94D2C0"/>
    <w:lvl w:ilvl="0" w:tplc="04090001">
      <w:start w:val="45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45F5E"/>
    <w:multiLevelType w:val="hybridMultilevel"/>
    <w:tmpl w:val="7E0631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943458B"/>
    <w:multiLevelType w:val="hybridMultilevel"/>
    <w:tmpl w:val="9564C53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C0"/>
    <w:rsid w:val="000300A7"/>
    <w:rsid w:val="00033101"/>
    <w:rsid w:val="00045F20"/>
    <w:rsid w:val="000501A2"/>
    <w:rsid w:val="000626BF"/>
    <w:rsid w:val="00065C98"/>
    <w:rsid w:val="00075501"/>
    <w:rsid w:val="00086BAA"/>
    <w:rsid w:val="00086E53"/>
    <w:rsid w:val="00092568"/>
    <w:rsid w:val="000C08EE"/>
    <w:rsid w:val="000C4BF8"/>
    <w:rsid w:val="00134232"/>
    <w:rsid w:val="00135C5B"/>
    <w:rsid w:val="00141889"/>
    <w:rsid w:val="0015670A"/>
    <w:rsid w:val="00161C3C"/>
    <w:rsid w:val="00167022"/>
    <w:rsid w:val="001846FB"/>
    <w:rsid w:val="001853EC"/>
    <w:rsid w:val="00187D30"/>
    <w:rsid w:val="001A253A"/>
    <w:rsid w:val="001B7E33"/>
    <w:rsid w:val="001C617F"/>
    <w:rsid w:val="001C7B84"/>
    <w:rsid w:val="00200AFC"/>
    <w:rsid w:val="00230FC1"/>
    <w:rsid w:val="002359ED"/>
    <w:rsid w:val="0025078C"/>
    <w:rsid w:val="00267F27"/>
    <w:rsid w:val="00286581"/>
    <w:rsid w:val="00292963"/>
    <w:rsid w:val="0029378D"/>
    <w:rsid w:val="002B2165"/>
    <w:rsid w:val="002B26B2"/>
    <w:rsid w:val="002B53CD"/>
    <w:rsid w:val="002D0819"/>
    <w:rsid w:val="002F3D9B"/>
    <w:rsid w:val="002F480D"/>
    <w:rsid w:val="003051CF"/>
    <w:rsid w:val="00310649"/>
    <w:rsid w:val="00320C2B"/>
    <w:rsid w:val="00327DD9"/>
    <w:rsid w:val="00327FAB"/>
    <w:rsid w:val="00330E12"/>
    <w:rsid w:val="0034580E"/>
    <w:rsid w:val="0035394A"/>
    <w:rsid w:val="00376E5A"/>
    <w:rsid w:val="00390AB4"/>
    <w:rsid w:val="003B601F"/>
    <w:rsid w:val="003B6979"/>
    <w:rsid w:val="004064E7"/>
    <w:rsid w:val="00430A3D"/>
    <w:rsid w:val="004319BA"/>
    <w:rsid w:val="004651A5"/>
    <w:rsid w:val="00466250"/>
    <w:rsid w:val="004704D7"/>
    <w:rsid w:val="00480AA7"/>
    <w:rsid w:val="004B4E7B"/>
    <w:rsid w:val="004C0F3F"/>
    <w:rsid w:val="004F7243"/>
    <w:rsid w:val="00514040"/>
    <w:rsid w:val="00524446"/>
    <w:rsid w:val="00525CFE"/>
    <w:rsid w:val="005433B8"/>
    <w:rsid w:val="00551273"/>
    <w:rsid w:val="0055400B"/>
    <w:rsid w:val="005556FD"/>
    <w:rsid w:val="005719D3"/>
    <w:rsid w:val="005930FC"/>
    <w:rsid w:val="005A64AD"/>
    <w:rsid w:val="005B257D"/>
    <w:rsid w:val="005C68A4"/>
    <w:rsid w:val="005D558D"/>
    <w:rsid w:val="00641328"/>
    <w:rsid w:val="006743C5"/>
    <w:rsid w:val="006956A0"/>
    <w:rsid w:val="006B1E7B"/>
    <w:rsid w:val="006E07D8"/>
    <w:rsid w:val="00707132"/>
    <w:rsid w:val="00714A2A"/>
    <w:rsid w:val="0072235C"/>
    <w:rsid w:val="00722A1E"/>
    <w:rsid w:val="00722B96"/>
    <w:rsid w:val="007317C3"/>
    <w:rsid w:val="00760E23"/>
    <w:rsid w:val="00767332"/>
    <w:rsid w:val="00770273"/>
    <w:rsid w:val="007A0F4E"/>
    <w:rsid w:val="007E397B"/>
    <w:rsid w:val="007F4A62"/>
    <w:rsid w:val="008265A4"/>
    <w:rsid w:val="0083262B"/>
    <w:rsid w:val="0087275D"/>
    <w:rsid w:val="0087659C"/>
    <w:rsid w:val="008809EC"/>
    <w:rsid w:val="008900D1"/>
    <w:rsid w:val="008D06B7"/>
    <w:rsid w:val="008D2CB4"/>
    <w:rsid w:val="008D75BC"/>
    <w:rsid w:val="008F3BA0"/>
    <w:rsid w:val="00910CCF"/>
    <w:rsid w:val="00927609"/>
    <w:rsid w:val="0093747D"/>
    <w:rsid w:val="00953EBC"/>
    <w:rsid w:val="009549DF"/>
    <w:rsid w:val="00970364"/>
    <w:rsid w:val="00981096"/>
    <w:rsid w:val="0098280C"/>
    <w:rsid w:val="00987C71"/>
    <w:rsid w:val="009C48A0"/>
    <w:rsid w:val="009E699E"/>
    <w:rsid w:val="009E6EB0"/>
    <w:rsid w:val="00A118F8"/>
    <w:rsid w:val="00A16B0A"/>
    <w:rsid w:val="00A20155"/>
    <w:rsid w:val="00A24828"/>
    <w:rsid w:val="00A30726"/>
    <w:rsid w:val="00A43EDE"/>
    <w:rsid w:val="00A5173C"/>
    <w:rsid w:val="00A531C2"/>
    <w:rsid w:val="00A64473"/>
    <w:rsid w:val="00A80818"/>
    <w:rsid w:val="00A81001"/>
    <w:rsid w:val="00A81391"/>
    <w:rsid w:val="00A90BA0"/>
    <w:rsid w:val="00A937E2"/>
    <w:rsid w:val="00A96CA9"/>
    <w:rsid w:val="00AA5FC0"/>
    <w:rsid w:val="00AD142C"/>
    <w:rsid w:val="00AD2FB5"/>
    <w:rsid w:val="00AF05CD"/>
    <w:rsid w:val="00AF760F"/>
    <w:rsid w:val="00B0249A"/>
    <w:rsid w:val="00B210AB"/>
    <w:rsid w:val="00B235EC"/>
    <w:rsid w:val="00B241FF"/>
    <w:rsid w:val="00B312FA"/>
    <w:rsid w:val="00B35179"/>
    <w:rsid w:val="00B43891"/>
    <w:rsid w:val="00B45D9D"/>
    <w:rsid w:val="00B53A72"/>
    <w:rsid w:val="00B664CD"/>
    <w:rsid w:val="00BA1168"/>
    <w:rsid w:val="00BB518E"/>
    <w:rsid w:val="00BB7667"/>
    <w:rsid w:val="00BC1A03"/>
    <w:rsid w:val="00BC1C27"/>
    <w:rsid w:val="00BD7DD6"/>
    <w:rsid w:val="00BE122B"/>
    <w:rsid w:val="00C075F1"/>
    <w:rsid w:val="00C11B5B"/>
    <w:rsid w:val="00C17DBF"/>
    <w:rsid w:val="00C306C5"/>
    <w:rsid w:val="00C33EBA"/>
    <w:rsid w:val="00C40D6F"/>
    <w:rsid w:val="00C46491"/>
    <w:rsid w:val="00C7581F"/>
    <w:rsid w:val="00C8124D"/>
    <w:rsid w:val="00C92A8C"/>
    <w:rsid w:val="00CB548E"/>
    <w:rsid w:val="00CF2928"/>
    <w:rsid w:val="00CF721C"/>
    <w:rsid w:val="00D01317"/>
    <w:rsid w:val="00D04964"/>
    <w:rsid w:val="00D12FE2"/>
    <w:rsid w:val="00D2133C"/>
    <w:rsid w:val="00D21C80"/>
    <w:rsid w:val="00D6431A"/>
    <w:rsid w:val="00DD4B26"/>
    <w:rsid w:val="00E04B9D"/>
    <w:rsid w:val="00E15751"/>
    <w:rsid w:val="00E272E2"/>
    <w:rsid w:val="00E57B2A"/>
    <w:rsid w:val="00E8587E"/>
    <w:rsid w:val="00ED6004"/>
    <w:rsid w:val="00EE2B9A"/>
    <w:rsid w:val="00F13695"/>
    <w:rsid w:val="00F51898"/>
    <w:rsid w:val="00F52AF2"/>
    <w:rsid w:val="00F82B98"/>
    <w:rsid w:val="00F9331C"/>
    <w:rsid w:val="00FB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DD683"/>
  <w15:docId w15:val="{AF7276DD-BBE7-4197-B762-F41A717B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3C"/>
    <w:rPr>
      <w:rFonts w:ascii="Times New Roman" w:hAnsi="Times New Roman"/>
      <w:sz w:val="24"/>
      <w:szCs w:val="24"/>
    </w:rPr>
  </w:style>
  <w:style w:type="paragraph" w:styleId="Heading1">
    <w:name w:val="heading 1"/>
    <w:basedOn w:val="Normal"/>
    <w:next w:val="Normal"/>
    <w:link w:val="Heading1Char"/>
    <w:uiPriority w:val="99"/>
    <w:qFormat/>
    <w:rsid w:val="00A80818"/>
    <w:pPr>
      <w:spacing w:before="480" w:line="276" w:lineRule="auto"/>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A80818"/>
    <w:pPr>
      <w:spacing w:before="200" w:line="276" w:lineRule="auto"/>
      <w:outlineLvl w:val="1"/>
    </w:pPr>
    <w:rPr>
      <w:rFonts w:ascii="Cambria" w:hAnsi="Cambria"/>
      <w:b/>
      <w:bCs/>
      <w:sz w:val="26"/>
      <w:szCs w:val="26"/>
    </w:rPr>
  </w:style>
  <w:style w:type="paragraph" w:styleId="Heading3">
    <w:name w:val="heading 3"/>
    <w:basedOn w:val="Normal"/>
    <w:next w:val="Normal"/>
    <w:link w:val="Heading3Char"/>
    <w:uiPriority w:val="99"/>
    <w:qFormat/>
    <w:rsid w:val="00A80818"/>
    <w:pPr>
      <w:spacing w:before="200" w:line="271" w:lineRule="auto"/>
      <w:outlineLvl w:val="2"/>
    </w:pPr>
    <w:rPr>
      <w:rFonts w:ascii="Cambria" w:hAnsi="Cambria"/>
      <w:b/>
      <w:bCs/>
      <w:sz w:val="22"/>
      <w:szCs w:val="22"/>
    </w:rPr>
  </w:style>
  <w:style w:type="paragraph" w:styleId="Heading4">
    <w:name w:val="heading 4"/>
    <w:basedOn w:val="Normal"/>
    <w:next w:val="Normal"/>
    <w:link w:val="Heading4Char"/>
    <w:uiPriority w:val="99"/>
    <w:qFormat/>
    <w:rsid w:val="00A80818"/>
    <w:pPr>
      <w:spacing w:before="200" w:line="276" w:lineRule="auto"/>
      <w:outlineLvl w:val="3"/>
    </w:pPr>
    <w:rPr>
      <w:rFonts w:ascii="Cambria" w:hAnsi="Cambria"/>
      <w:b/>
      <w:bCs/>
      <w:i/>
      <w:iCs/>
      <w:sz w:val="22"/>
      <w:szCs w:val="22"/>
    </w:rPr>
  </w:style>
  <w:style w:type="paragraph" w:styleId="Heading5">
    <w:name w:val="heading 5"/>
    <w:basedOn w:val="Normal"/>
    <w:next w:val="Normal"/>
    <w:link w:val="Heading5Char"/>
    <w:uiPriority w:val="99"/>
    <w:qFormat/>
    <w:rsid w:val="00A80818"/>
    <w:pPr>
      <w:spacing w:before="200" w:line="276" w:lineRule="auto"/>
      <w:outlineLvl w:val="4"/>
    </w:pPr>
    <w:rPr>
      <w:rFonts w:ascii="Cambria" w:hAnsi="Cambria"/>
      <w:b/>
      <w:bCs/>
      <w:color w:val="7F7F7F"/>
      <w:sz w:val="22"/>
      <w:szCs w:val="22"/>
    </w:rPr>
  </w:style>
  <w:style w:type="paragraph" w:styleId="Heading6">
    <w:name w:val="heading 6"/>
    <w:basedOn w:val="Normal"/>
    <w:next w:val="Normal"/>
    <w:link w:val="Heading6Char"/>
    <w:uiPriority w:val="99"/>
    <w:qFormat/>
    <w:rsid w:val="00A80818"/>
    <w:pPr>
      <w:spacing w:line="271" w:lineRule="auto"/>
      <w:outlineLvl w:val="5"/>
    </w:pPr>
    <w:rPr>
      <w:rFonts w:ascii="Cambria" w:hAnsi="Cambria"/>
      <w:b/>
      <w:bCs/>
      <w:i/>
      <w:iCs/>
      <w:color w:val="7F7F7F"/>
      <w:sz w:val="22"/>
      <w:szCs w:val="22"/>
    </w:rPr>
  </w:style>
  <w:style w:type="paragraph" w:styleId="Heading7">
    <w:name w:val="heading 7"/>
    <w:basedOn w:val="Normal"/>
    <w:next w:val="Normal"/>
    <w:link w:val="Heading7Char"/>
    <w:uiPriority w:val="99"/>
    <w:qFormat/>
    <w:rsid w:val="00A80818"/>
    <w:pPr>
      <w:spacing w:line="276" w:lineRule="auto"/>
      <w:outlineLvl w:val="6"/>
    </w:pPr>
    <w:rPr>
      <w:rFonts w:ascii="Cambria" w:hAnsi="Cambria"/>
      <w:i/>
      <w:iCs/>
      <w:sz w:val="22"/>
      <w:szCs w:val="22"/>
    </w:rPr>
  </w:style>
  <w:style w:type="paragraph" w:styleId="Heading8">
    <w:name w:val="heading 8"/>
    <w:basedOn w:val="Normal"/>
    <w:next w:val="Normal"/>
    <w:link w:val="Heading8Char"/>
    <w:uiPriority w:val="99"/>
    <w:qFormat/>
    <w:rsid w:val="00A80818"/>
    <w:pPr>
      <w:spacing w:line="276" w:lineRule="auto"/>
      <w:outlineLvl w:val="7"/>
    </w:pPr>
    <w:rPr>
      <w:rFonts w:ascii="Cambria" w:hAnsi="Cambria"/>
      <w:sz w:val="20"/>
      <w:szCs w:val="20"/>
    </w:rPr>
  </w:style>
  <w:style w:type="paragraph" w:styleId="Heading9">
    <w:name w:val="heading 9"/>
    <w:basedOn w:val="Normal"/>
    <w:next w:val="Normal"/>
    <w:link w:val="Heading9Char"/>
    <w:uiPriority w:val="99"/>
    <w:qFormat/>
    <w:rsid w:val="00A80818"/>
    <w:pPr>
      <w:spacing w:line="276" w:lineRule="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0818"/>
    <w:rPr>
      <w:rFonts w:ascii="Cambria" w:hAnsi="Cambria" w:cs="Times New Roman"/>
      <w:b/>
      <w:bCs/>
      <w:sz w:val="28"/>
      <w:szCs w:val="28"/>
    </w:rPr>
  </w:style>
  <w:style w:type="character" w:customStyle="1" w:styleId="Heading2Char">
    <w:name w:val="Heading 2 Char"/>
    <w:basedOn w:val="DefaultParagraphFont"/>
    <w:link w:val="Heading2"/>
    <w:uiPriority w:val="99"/>
    <w:semiHidden/>
    <w:locked/>
    <w:rsid w:val="00A80818"/>
    <w:rPr>
      <w:rFonts w:ascii="Cambria" w:hAnsi="Cambria" w:cs="Times New Roman"/>
      <w:b/>
      <w:bCs/>
      <w:sz w:val="26"/>
      <w:szCs w:val="26"/>
    </w:rPr>
  </w:style>
  <w:style w:type="character" w:customStyle="1" w:styleId="Heading3Char">
    <w:name w:val="Heading 3 Char"/>
    <w:basedOn w:val="DefaultParagraphFont"/>
    <w:link w:val="Heading3"/>
    <w:uiPriority w:val="99"/>
    <w:semiHidden/>
    <w:locked/>
    <w:rsid w:val="00A80818"/>
    <w:rPr>
      <w:rFonts w:ascii="Cambria" w:hAnsi="Cambria" w:cs="Times New Roman"/>
      <w:b/>
      <w:bCs/>
    </w:rPr>
  </w:style>
  <w:style w:type="character" w:customStyle="1" w:styleId="Heading4Char">
    <w:name w:val="Heading 4 Char"/>
    <w:basedOn w:val="DefaultParagraphFont"/>
    <w:link w:val="Heading4"/>
    <w:uiPriority w:val="99"/>
    <w:semiHidden/>
    <w:locked/>
    <w:rsid w:val="00A80818"/>
    <w:rPr>
      <w:rFonts w:ascii="Cambria" w:hAnsi="Cambria" w:cs="Times New Roman"/>
      <w:b/>
      <w:bCs/>
      <w:i/>
      <w:iCs/>
    </w:rPr>
  </w:style>
  <w:style w:type="character" w:customStyle="1" w:styleId="Heading5Char">
    <w:name w:val="Heading 5 Char"/>
    <w:basedOn w:val="DefaultParagraphFont"/>
    <w:link w:val="Heading5"/>
    <w:uiPriority w:val="99"/>
    <w:semiHidden/>
    <w:locked/>
    <w:rsid w:val="00A80818"/>
    <w:rPr>
      <w:rFonts w:ascii="Cambria" w:hAnsi="Cambria" w:cs="Times New Roman"/>
      <w:b/>
      <w:bCs/>
      <w:color w:val="7F7F7F"/>
    </w:rPr>
  </w:style>
  <w:style w:type="character" w:customStyle="1" w:styleId="Heading6Char">
    <w:name w:val="Heading 6 Char"/>
    <w:basedOn w:val="DefaultParagraphFont"/>
    <w:link w:val="Heading6"/>
    <w:uiPriority w:val="99"/>
    <w:semiHidden/>
    <w:locked/>
    <w:rsid w:val="00A80818"/>
    <w:rPr>
      <w:rFonts w:ascii="Cambria" w:hAnsi="Cambria" w:cs="Times New Roman"/>
      <w:b/>
      <w:bCs/>
      <w:i/>
      <w:iCs/>
      <w:color w:val="7F7F7F"/>
    </w:rPr>
  </w:style>
  <w:style w:type="character" w:customStyle="1" w:styleId="Heading7Char">
    <w:name w:val="Heading 7 Char"/>
    <w:basedOn w:val="DefaultParagraphFont"/>
    <w:link w:val="Heading7"/>
    <w:uiPriority w:val="99"/>
    <w:semiHidden/>
    <w:locked/>
    <w:rsid w:val="00A80818"/>
    <w:rPr>
      <w:rFonts w:ascii="Cambria" w:hAnsi="Cambria" w:cs="Times New Roman"/>
      <w:i/>
      <w:iCs/>
    </w:rPr>
  </w:style>
  <w:style w:type="character" w:customStyle="1" w:styleId="Heading8Char">
    <w:name w:val="Heading 8 Char"/>
    <w:basedOn w:val="DefaultParagraphFont"/>
    <w:link w:val="Heading8"/>
    <w:uiPriority w:val="99"/>
    <w:semiHidden/>
    <w:locked/>
    <w:rsid w:val="00A80818"/>
    <w:rPr>
      <w:rFonts w:ascii="Cambria" w:hAnsi="Cambria" w:cs="Times New Roman"/>
      <w:sz w:val="20"/>
      <w:szCs w:val="20"/>
    </w:rPr>
  </w:style>
  <w:style w:type="character" w:customStyle="1" w:styleId="Heading9Char">
    <w:name w:val="Heading 9 Char"/>
    <w:basedOn w:val="DefaultParagraphFont"/>
    <w:link w:val="Heading9"/>
    <w:uiPriority w:val="99"/>
    <w:semiHidden/>
    <w:locked/>
    <w:rsid w:val="00A80818"/>
    <w:rPr>
      <w:rFonts w:ascii="Cambria" w:hAnsi="Cambria" w:cs="Times New Roman"/>
      <w:i/>
      <w:iCs/>
      <w:spacing w:val="5"/>
      <w:sz w:val="20"/>
      <w:szCs w:val="20"/>
    </w:rPr>
  </w:style>
  <w:style w:type="paragraph" w:styleId="Header">
    <w:name w:val="header"/>
    <w:basedOn w:val="Normal"/>
    <w:link w:val="HeaderChar"/>
    <w:uiPriority w:val="99"/>
    <w:rsid w:val="0087275D"/>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87275D"/>
    <w:rPr>
      <w:rFonts w:cs="Times New Roman"/>
    </w:rPr>
  </w:style>
  <w:style w:type="paragraph" w:styleId="Footer">
    <w:name w:val="footer"/>
    <w:basedOn w:val="Normal"/>
    <w:link w:val="FooterChar"/>
    <w:uiPriority w:val="99"/>
    <w:rsid w:val="0087275D"/>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locked/>
    <w:rsid w:val="0087275D"/>
    <w:rPr>
      <w:rFonts w:cs="Times New Roman"/>
    </w:rPr>
  </w:style>
  <w:style w:type="paragraph" w:styleId="Title">
    <w:name w:val="Title"/>
    <w:basedOn w:val="Normal"/>
    <w:next w:val="Normal"/>
    <w:link w:val="TitleChar"/>
    <w:uiPriority w:val="99"/>
    <w:qFormat/>
    <w:rsid w:val="00A80818"/>
    <w:pPr>
      <w:pBdr>
        <w:bottom w:val="single" w:sz="4" w:space="1" w:color="auto"/>
      </w:pBdr>
      <w:spacing w:after="200"/>
      <w:contextualSpacing/>
    </w:pPr>
    <w:rPr>
      <w:rFonts w:ascii="Cambria" w:hAnsi="Cambria"/>
      <w:spacing w:val="5"/>
      <w:sz w:val="52"/>
      <w:szCs w:val="52"/>
    </w:rPr>
  </w:style>
  <w:style w:type="character" w:customStyle="1" w:styleId="TitleChar">
    <w:name w:val="Title Char"/>
    <w:basedOn w:val="DefaultParagraphFont"/>
    <w:link w:val="Title"/>
    <w:uiPriority w:val="99"/>
    <w:locked/>
    <w:rsid w:val="00A80818"/>
    <w:rPr>
      <w:rFonts w:ascii="Cambria" w:hAnsi="Cambria" w:cs="Times New Roman"/>
      <w:spacing w:val="5"/>
      <w:sz w:val="52"/>
      <w:szCs w:val="52"/>
    </w:rPr>
  </w:style>
  <w:style w:type="paragraph" w:styleId="Subtitle">
    <w:name w:val="Subtitle"/>
    <w:basedOn w:val="Normal"/>
    <w:next w:val="Normal"/>
    <w:link w:val="SubtitleChar"/>
    <w:uiPriority w:val="99"/>
    <w:qFormat/>
    <w:rsid w:val="00A80818"/>
    <w:pPr>
      <w:spacing w:after="600" w:line="276" w:lineRule="auto"/>
    </w:pPr>
    <w:rPr>
      <w:rFonts w:ascii="Cambria" w:hAnsi="Cambria"/>
      <w:i/>
      <w:iCs/>
      <w:spacing w:val="13"/>
    </w:rPr>
  </w:style>
  <w:style w:type="character" w:customStyle="1" w:styleId="SubtitleChar">
    <w:name w:val="Subtitle Char"/>
    <w:basedOn w:val="DefaultParagraphFont"/>
    <w:link w:val="Subtitle"/>
    <w:uiPriority w:val="99"/>
    <w:locked/>
    <w:rsid w:val="00A80818"/>
    <w:rPr>
      <w:rFonts w:ascii="Cambria" w:hAnsi="Cambria" w:cs="Times New Roman"/>
      <w:i/>
      <w:iCs/>
      <w:spacing w:val="13"/>
      <w:sz w:val="24"/>
      <w:szCs w:val="24"/>
    </w:rPr>
  </w:style>
  <w:style w:type="character" w:styleId="Strong">
    <w:name w:val="Strong"/>
    <w:basedOn w:val="DefaultParagraphFont"/>
    <w:uiPriority w:val="99"/>
    <w:qFormat/>
    <w:rsid w:val="00A80818"/>
    <w:rPr>
      <w:rFonts w:cs="Times New Roman"/>
      <w:b/>
    </w:rPr>
  </w:style>
  <w:style w:type="character" w:styleId="Emphasis">
    <w:name w:val="Emphasis"/>
    <w:basedOn w:val="DefaultParagraphFont"/>
    <w:uiPriority w:val="99"/>
    <w:qFormat/>
    <w:rsid w:val="00A80818"/>
    <w:rPr>
      <w:rFonts w:cs="Times New Roman"/>
      <w:b/>
      <w:i/>
      <w:spacing w:val="10"/>
      <w:shd w:val="clear" w:color="auto" w:fill="auto"/>
    </w:rPr>
  </w:style>
  <w:style w:type="paragraph" w:styleId="NoSpacing">
    <w:name w:val="No Spacing"/>
    <w:basedOn w:val="Normal"/>
    <w:uiPriority w:val="99"/>
    <w:qFormat/>
    <w:rsid w:val="00A80818"/>
    <w:rPr>
      <w:rFonts w:ascii="Calibri" w:hAnsi="Calibri"/>
      <w:sz w:val="22"/>
      <w:szCs w:val="22"/>
    </w:rPr>
  </w:style>
  <w:style w:type="paragraph" w:styleId="ListParagraph">
    <w:name w:val="List Paragraph"/>
    <w:basedOn w:val="Normal"/>
    <w:uiPriority w:val="99"/>
    <w:qFormat/>
    <w:rsid w:val="00A80818"/>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99"/>
    <w:qFormat/>
    <w:rsid w:val="00A80818"/>
    <w:pPr>
      <w:spacing w:before="200" w:line="276" w:lineRule="auto"/>
      <w:ind w:left="360" w:right="360"/>
    </w:pPr>
    <w:rPr>
      <w:rFonts w:ascii="Calibri" w:hAnsi="Calibri"/>
      <w:i/>
      <w:iCs/>
      <w:sz w:val="22"/>
      <w:szCs w:val="22"/>
    </w:rPr>
  </w:style>
  <w:style w:type="character" w:customStyle="1" w:styleId="QuoteChar">
    <w:name w:val="Quote Char"/>
    <w:basedOn w:val="DefaultParagraphFont"/>
    <w:link w:val="Quote"/>
    <w:uiPriority w:val="99"/>
    <w:locked/>
    <w:rsid w:val="00A80818"/>
    <w:rPr>
      <w:rFonts w:cs="Times New Roman"/>
      <w:i/>
      <w:iCs/>
    </w:rPr>
  </w:style>
  <w:style w:type="paragraph" w:styleId="IntenseQuote">
    <w:name w:val="Intense Quote"/>
    <w:basedOn w:val="Normal"/>
    <w:next w:val="Normal"/>
    <w:link w:val="IntenseQuoteChar"/>
    <w:uiPriority w:val="99"/>
    <w:qFormat/>
    <w:rsid w:val="00A80818"/>
    <w:pPr>
      <w:pBdr>
        <w:bottom w:val="single" w:sz="4" w:space="1" w:color="auto"/>
      </w:pBdr>
      <w:spacing w:before="200" w:after="280" w:line="276" w:lineRule="auto"/>
      <w:ind w:left="1008" w:right="1152"/>
      <w:jc w:val="both"/>
    </w:pPr>
    <w:rPr>
      <w:rFonts w:ascii="Calibri" w:hAnsi="Calibri"/>
      <w:b/>
      <w:bCs/>
      <w:i/>
      <w:iCs/>
      <w:sz w:val="22"/>
      <w:szCs w:val="22"/>
    </w:rPr>
  </w:style>
  <w:style w:type="character" w:customStyle="1" w:styleId="IntenseQuoteChar">
    <w:name w:val="Intense Quote Char"/>
    <w:basedOn w:val="DefaultParagraphFont"/>
    <w:link w:val="IntenseQuote"/>
    <w:uiPriority w:val="99"/>
    <w:locked/>
    <w:rsid w:val="00A80818"/>
    <w:rPr>
      <w:rFonts w:cs="Times New Roman"/>
      <w:b/>
      <w:bCs/>
      <w:i/>
      <w:iCs/>
    </w:rPr>
  </w:style>
  <w:style w:type="character" w:styleId="SubtleEmphasis">
    <w:name w:val="Subtle Emphasis"/>
    <w:basedOn w:val="DefaultParagraphFont"/>
    <w:uiPriority w:val="99"/>
    <w:qFormat/>
    <w:rsid w:val="00A80818"/>
    <w:rPr>
      <w:i/>
    </w:rPr>
  </w:style>
  <w:style w:type="character" w:styleId="IntenseEmphasis">
    <w:name w:val="Intense Emphasis"/>
    <w:basedOn w:val="DefaultParagraphFont"/>
    <w:uiPriority w:val="99"/>
    <w:qFormat/>
    <w:rsid w:val="00A80818"/>
    <w:rPr>
      <w:b/>
    </w:rPr>
  </w:style>
  <w:style w:type="character" w:styleId="SubtleReference">
    <w:name w:val="Subtle Reference"/>
    <w:basedOn w:val="DefaultParagraphFont"/>
    <w:uiPriority w:val="99"/>
    <w:qFormat/>
    <w:rsid w:val="00A80818"/>
    <w:rPr>
      <w:smallCaps/>
    </w:rPr>
  </w:style>
  <w:style w:type="character" w:styleId="IntenseReference">
    <w:name w:val="Intense Reference"/>
    <w:basedOn w:val="DefaultParagraphFont"/>
    <w:uiPriority w:val="99"/>
    <w:qFormat/>
    <w:rsid w:val="00A80818"/>
    <w:rPr>
      <w:smallCaps/>
      <w:spacing w:val="5"/>
      <w:u w:val="single"/>
    </w:rPr>
  </w:style>
  <w:style w:type="character" w:styleId="BookTitle">
    <w:name w:val="Book Title"/>
    <w:basedOn w:val="DefaultParagraphFont"/>
    <w:uiPriority w:val="99"/>
    <w:qFormat/>
    <w:rsid w:val="00A80818"/>
    <w:rPr>
      <w:i/>
      <w:smallCaps/>
      <w:spacing w:val="5"/>
    </w:rPr>
  </w:style>
  <w:style w:type="paragraph" w:styleId="TOCHeading">
    <w:name w:val="TOC Heading"/>
    <w:basedOn w:val="Heading1"/>
    <w:next w:val="Normal"/>
    <w:uiPriority w:val="99"/>
    <w:qFormat/>
    <w:rsid w:val="00A80818"/>
    <w:pPr>
      <w:outlineLvl w:val="9"/>
    </w:pPr>
  </w:style>
  <w:style w:type="character" w:styleId="Hyperlink">
    <w:name w:val="Hyperlink"/>
    <w:basedOn w:val="DefaultParagraphFont"/>
    <w:uiPriority w:val="99"/>
    <w:rsid w:val="00B35179"/>
    <w:rPr>
      <w:rFonts w:cs="Times New Roman"/>
      <w:color w:val="0000FF"/>
      <w:u w:val="single"/>
    </w:rPr>
  </w:style>
  <w:style w:type="paragraph" w:styleId="DocumentMap">
    <w:name w:val="Document Map"/>
    <w:basedOn w:val="Normal"/>
    <w:link w:val="DocumentMapChar"/>
    <w:uiPriority w:val="99"/>
    <w:semiHidden/>
    <w:rsid w:val="003B69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2444C"/>
    <w:rPr>
      <w:rFonts w:ascii="Times New Roman" w:hAnsi="Times New Roman"/>
      <w:sz w:val="0"/>
      <w:szCs w:val="0"/>
    </w:rPr>
  </w:style>
  <w:style w:type="paragraph" w:styleId="FootnoteText">
    <w:name w:val="footnote text"/>
    <w:basedOn w:val="Normal"/>
    <w:link w:val="FootnoteTextChar"/>
    <w:uiPriority w:val="99"/>
    <w:semiHidden/>
    <w:unhideWhenUsed/>
    <w:rsid w:val="00D2133C"/>
    <w:rPr>
      <w:sz w:val="20"/>
      <w:szCs w:val="20"/>
    </w:rPr>
  </w:style>
  <w:style w:type="character" w:customStyle="1" w:styleId="FootnoteTextChar">
    <w:name w:val="Footnote Text Char"/>
    <w:basedOn w:val="DefaultParagraphFont"/>
    <w:link w:val="FootnoteText"/>
    <w:uiPriority w:val="99"/>
    <w:semiHidden/>
    <w:rsid w:val="00D2133C"/>
    <w:rPr>
      <w:rFonts w:ascii="Times New Roman" w:hAnsi="Times New Roman"/>
      <w:sz w:val="20"/>
      <w:szCs w:val="20"/>
    </w:rPr>
  </w:style>
  <w:style w:type="character" w:styleId="FootnoteReference">
    <w:name w:val="footnote reference"/>
    <w:basedOn w:val="DefaultParagraphFont"/>
    <w:uiPriority w:val="99"/>
    <w:semiHidden/>
    <w:unhideWhenUsed/>
    <w:rsid w:val="00D21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77672">
      <w:marLeft w:val="0"/>
      <w:marRight w:val="0"/>
      <w:marTop w:val="0"/>
      <w:marBottom w:val="0"/>
      <w:divBdr>
        <w:top w:val="none" w:sz="0" w:space="0" w:color="auto"/>
        <w:left w:val="none" w:sz="0" w:space="0" w:color="auto"/>
        <w:bottom w:val="none" w:sz="0" w:space="0" w:color="auto"/>
        <w:right w:val="none" w:sz="0" w:space="0" w:color="auto"/>
      </w:divBdr>
    </w:div>
    <w:div w:id="1409377673">
      <w:marLeft w:val="0"/>
      <w:marRight w:val="0"/>
      <w:marTop w:val="0"/>
      <w:marBottom w:val="0"/>
      <w:divBdr>
        <w:top w:val="none" w:sz="0" w:space="0" w:color="auto"/>
        <w:left w:val="none" w:sz="0" w:space="0" w:color="auto"/>
        <w:bottom w:val="none" w:sz="0" w:space="0" w:color="auto"/>
        <w:right w:val="none" w:sz="0" w:space="0" w:color="auto"/>
      </w:divBdr>
    </w:div>
    <w:div w:id="1409377674">
      <w:marLeft w:val="0"/>
      <w:marRight w:val="0"/>
      <w:marTop w:val="0"/>
      <w:marBottom w:val="0"/>
      <w:divBdr>
        <w:top w:val="none" w:sz="0" w:space="0" w:color="auto"/>
        <w:left w:val="none" w:sz="0" w:space="0" w:color="auto"/>
        <w:bottom w:val="none" w:sz="0" w:space="0" w:color="auto"/>
        <w:right w:val="none" w:sz="0" w:space="0" w:color="auto"/>
      </w:divBdr>
    </w:div>
    <w:div w:id="1409377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Land%20Protection\Land%20Templates\OtherLandAgentForms\ClaimingIncTaxDed_CEGi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ClaimingIncTaxDed_CEGift</Template>
  <TotalTime>7</TotalTime>
  <Pages>7</Pages>
  <Words>2791</Words>
  <Characters>14447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SPNHF</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Colton</dc:creator>
  <cp:lastModifiedBy>Connie Colton</cp:lastModifiedBy>
  <cp:revision>1</cp:revision>
  <cp:lastPrinted>2014-02-15T15:51:00Z</cp:lastPrinted>
  <dcterms:created xsi:type="dcterms:W3CDTF">2019-02-26T14:14:00Z</dcterms:created>
  <dcterms:modified xsi:type="dcterms:W3CDTF">2019-02-26T14:21:00Z</dcterms:modified>
</cp:coreProperties>
</file>